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苏银理财恒源周开放1号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2025年8月14日-2025年8月20日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苏银理财恒源周开放1号A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1.21%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J172411SA79C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苏银理财恒源周开放1号D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1.36%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J02479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苏银理财恒源周开放1号E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1.46%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J01995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苏银理财恒源周开放1号F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1.21%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J02462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苏银理财恒源周开放1号G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1.31%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J02568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苏银理财恒源周开放1号W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1.10%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J172411SA79B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苏银理财恒源周开放1号（代发专享）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1.26%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2025-06-23T07:52:24Z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