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rPr>
          <w:rFonts w:ascii="楷体" w:hAnsi="楷体" w:eastAsia="楷体"/>
        </w:rPr>
      </w:pPr>
      <w:r>
        <w:rPr>
          <w:rFonts w:hint="eastAsia" w:ascii="楷体" w:hAnsi="楷体" w:eastAsia="楷体"/>
        </w:rPr>
        <mc:AlternateContent>
          <mc:Choice Requires="wps">
            <w:drawing>
              <wp:anchor distT="45720" distB="45720" distL="114300" distR="114300" simplePos="0" relativeHeight="251659264" behindDoc="0" locked="0" layoutInCell="1" allowOverlap="1">
                <wp:simplePos x="0" y="0"/>
                <wp:positionH relativeFrom="margin">
                  <wp:posOffset>-302260</wp:posOffset>
                </wp:positionH>
                <wp:positionV relativeFrom="paragraph">
                  <wp:posOffset>-23495</wp:posOffset>
                </wp:positionV>
                <wp:extent cx="6021070" cy="2478405"/>
                <wp:effectExtent l="4445" t="4445" r="13335" b="12700"/>
                <wp:wrapSquare wrapText="bothSides"/>
                <wp:docPr id="1" name="文本框 2"/>
                <wp:cNvGraphicFramePr/>
                <a:graphic xmlns:a="http://schemas.openxmlformats.org/drawingml/2006/main">
                  <a:graphicData uri="http://schemas.microsoft.com/office/word/2010/wordprocessingShape">
                    <wps:wsp>
                      <wps:cNvSpPr txBox="1"/>
                      <wps:spPr>
                        <a:xfrm>
                          <a:off x="0" y="0"/>
                          <a:ext cx="6021070" cy="24784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楷体" w:hAnsi="楷体" w:eastAsia="楷体"/>
                                <w:b/>
                                <w:bCs/>
                                <w:sz w:val="28"/>
                                <w:szCs w:val="32"/>
                              </w:rPr>
                            </w:pPr>
                            <w:r>
                              <w:rPr>
                                <w:rFonts w:ascii="楷体" w:hAnsi="楷体" w:eastAsia="楷体"/>
                                <w:b/>
                                <w:bCs/>
                                <w:sz w:val="28"/>
                                <w:szCs w:val="32"/>
                              </w:rPr>
                              <w:t>特别</w:t>
                            </w:r>
                            <w:r>
                              <w:rPr>
                                <w:rFonts w:hint="eastAsia" w:ascii="楷体" w:hAnsi="楷体" w:eastAsia="楷体"/>
                                <w:b/>
                                <w:bCs/>
                                <w:sz w:val="28"/>
                                <w:szCs w:val="32"/>
                              </w:rPr>
                              <w:t>提示</w:t>
                            </w:r>
                          </w:p>
                          <w:p>
                            <w:pPr>
                              <w:numPr>
                                <w:ilvl w:val="0"/>
                                <w:numId w:val="1"/>
                              </w:numPr>
                              <w:ind w:right="115" w:rightChars="55"/>
                              <w:rPr>
                                <w:rFonts w:ascii="楷体" w:hAnsi="楷体" w:eastAsia="楷体" w:cs="宋体"/>
                                <w:b/>
                                <w:spacing w:val="-2"/>
                                <w:szCs w:val="21"/>
                                <w:u w:val="single"/>
                              </w:rPr>
                            </w:pPr>
                            <w:r>
                              <w:rPr>
                                <w:rFonts w:hint="eastAsia" w:ascii="楷体" w:hAnsi="楷体" w:eastAsia="楷体" w:cs="宋体"/>
                                <w:b/>
                                <w:spacing w:val="-2"/>
                                <w:szCs w:val="21"/>
                                <w:u w:val="single"/>
                              </w:rPr>
                              <w:t>本产品为周期持有型理财产品</w:t>
                            </w:r>
                            <w:r>
                              <w:rPr>
                                <w:rFonts w:ascii="楷体" w:hAnsi="楷体" w:eastAsia="楷体" w:cs="宋体"/>
                                <w:b/>
                                <w:spacing w:val="-2"/>
                                <w:szCs w:val="21"/>
                                <w:u w:val="single"/>
                              </w:rPr>
                              <w:t>，</w:t>
                            </w:r>
                            <w:r>
                              <w:rPr>
                                <w:rFonts w:hint="eastAsia" w:ascii="楷体" w:hAnsi="楷体" w:eastAsia="楷体" w:cs="宋体"/>
                                <w:b/>
                                <w:spacing w:val="-2"/>
                                <w:szCs w:val="21"/>
                                <w:u w:val="single"/>
                              </w:rPr>
                              <w:t>客户持有</w:t>
                            </w:r>
                            <w:r>
                              <w:rPr>
                                <w:rFonts w:ascii="楷体" w:hAnsi="楷体" w:eastAsia="楷体" w:cs="宋体"/>
                                <w:b/>
                                <w:spacing w:val="-2"/>
                                <w:szCs w:val="21"/>
                                <w:u w:val="single"/>
                              </w:rPr>
                              <w:t>份额须按约定运作满足够天数后由系统发起全额自动赎回，在未按约定运作满足够天数前客户无权提前赎回份额。</w:t>
                            </w:r>
                          </w:p>
                          <w:p>
                            <w:pPr>
                              <w:numPr>
                                <w:ilvl w:val="0"/>
                                <w:numId w:val="1"/>
                              </w:numPr>
                              <w:ind w:right="115" w:rightChars="55"/>
                              <w:rPr>
                                <w:rFonts w:ascii="楷体" w:hAnsi="楷体" w:eastAsia="楷体" w:cs="宋体"/>
                                <w:b/>
                                <w:spacing w:val="-2"/>
                                <w:szCs w:val="21"/>
                                <w:u w:val="single"/>
                              </w:rPr>
                            </w:pPr>
                            <w:r>
                              <w:rPr>
                                <w:rFonts w:hint="eastAsia" w:ascii="楷体" w:hAnsi="楷体" w:eastAsia="楷体" w:cs="宋体"/>
                                <w:b/>
                                <w:spacing w:val="-2"/>
                                <w:szCs w:val="21"/>
                                <w:u w:val="single"/>
                              </w:rPr>
                              <w:t>本产品各份额设置有不同业绩比较基准，各</w:t>
                            </w:r>
                            <w:r>
                              <w:rPr>
                                <w:rFonts w:hint="eastAsia" w:ascii="楷体" w:hAnsi="楷体" w:eastAsia="楷体" w:cs="宋体"/>
                                <w:b/>
                                <w:spacing w:val="-2"/>
                                <w:szCs w:val="21"/>
                                <w:u w:val="single"/>
                                <w:lang w:val="en-US" w:eastAsia="zh-CN"/>
                              </w:rPr>
                              <w:t>份额</w:t>
                            </w:r>
                            <w:r>
                              <w:rPr>
                                <w:rFonts w:hint="eastAsia" w:ascii="楷体" w:hAnsi="楷体" w:eastAsia="楷体" w:cs="宋体"/>
                                <w:b/>
                                <w:spacing w:val="-2"/>
                                <w:szCs w:val="21"/>
                                <w:u w:val="single"/>
                              </w:rPr>
                              <w:t>按照设置的销售对象和销售起点进行销售，客户根据设置的销售条件自主选择购买。</w:t>
                            </w:r>
                          </w:p>
                          <w:p>
                            <w:pPr>
                              <w:numPr>
                                <w:ilvl w:val="0"/>
                                <w:numId w:val="1"/>
                              </w:numPr>
                              <w:rPr>
                                <w:rFonts w:hint="eastAsia" w:ascii="楷体" w:hAnsi="楷体" w:eastAsia="楷体" w:cs="宋体"/>
                                <w:b/>
                                <w:spacing w:val="-2"/>
                                <w:szCs w:val="21"/>
                                <w:u w:val="single"/>
                              </w:rPr>
                            </w:pPr>
                            <w:r>
                              <w:rPr>
                                <w:rFonts w:hint="eastAsia" w:ascii="楷体" w:hAnsi="楷体" w:eastAsia="楷体" w:cs="宋体"/>
                                <w:b/>
                                <w:spacing w:val="-2"/>
                                <w:szCs w:val="21"/>
                                <w:u w:val="single"/>
                              </w:rPr>
                              <w:t>业绩比较基准为管理人对本产品所设定的投资目标，不代表理财产品未来表现，不等于理财产品实际收益，不作为产品收益的业绩保证，投资者的实际收益由产品净值表现决定。</w:t>
                            </w:r>
                          </w:p>
                          <w:p>
                            <w:pPr>
                              <w:numPr>
                                <w:ilvl w:val="0"/>
                                <w:numId w:val="1"/>
                              </w:numPr>
                              <w:rPr>
                                <w:rFonts w:hint="eastAsia" w:ascii="楷体" w:hAnsi="楷体" w:eastAsia="楷体" w:cs="宋体"/>
                                <w:b/>
                                <w:spacing w:val="-2"/>
                                <w:szCs w:val="21"/>
                                <w:u w:val="single"/>
                              </w:rPr>
                            </w:pPr>
                            <w:r>
                              <w:rPr>
                                <w:rFonts w:hint="eastAsia" w:ascii="楷体" w:hAnsi="楷体" w:eastAsia="楷体" w:cs="宋体"/>
                                <w:b/>
                                <w:spacing w:val="-2"/>
                                <w:szCs w:val="21"/>
                                <w:u w:val="single"/>
                              </w:rPr>
                              <w:t>投资者持仓份额的产品净值含有未收取的超额业绩报酬</w:t>
                            </w:r>
                            <w:r>
                              <w:rPr>
                                <w:rFonts w:hint="eastAsia" w:ascii="楷体" w:hAnsi="楷体" w:eastAsia="楷体" w:cs="宋体"/>
                                <w:b/>
                                <w:spacing w:val="-2"/>
                                <w:szCs w:val="21"/>
                                <w:u w:val="single"/>
                                <w:lang w:eastAsia="zh-CN"/>
                              </w:rPr>
                              <w:t>（</w:t>
                            </w:r>
                            <w:r>
                              <w:rPr>
                                <w:rFonts w:hint="eastAsia" w:ascii="楷体" w:hAnsi="楷体" w:eastAsia="楷体" w:cs="宋体"/>
                                <w:b/>
                                <w:spacing w:val="-2"/>
                                <w:szCs w:val="21"/>
                                <w:u w:val="single"/>
                                <w:lang w:val="en-US" w:eastAsia="zh-CN"/>
                              </w:rPr>
                              <w:t>如有</w:t>
                            </w:r>
                            <w:r>
                              <w:rPr>
                                <w:rFonts w:hint="eastAsia" w:ascii="楷体" w:hAnsi="楷体" w:eastAsia="楷体" w:cs="宋体"/>
                                <w:b/>
                                <w:spacing w:val="-2"/>
                                <w:szCs w:val="21"/>
                                <w:u w:val="single"/>
                                <w:lang w:eastAsia="zh-CN"/>
                              </w:rPr>
                              <w:t>）</w:t>
                            </w:r>
                            <w:r>
                              <w:rPr>
                                <w:rFonts w:hint="eastAsia" w:ascii="楷体" w:hAnsi="楷体" w:eastAsia="楷体" w:cs="宋体"/>
                                <w:b/>
                                <w:spacing w:val="-2"/>
                                <w:szCs w:val="21"/>
                                <w:u w:val="single"/>
                              </w:rPr>
                              <w:t>，自动赎回兑付金额以实际入账金额为准。</w:t>
                            </w:r>
                          </w:p>
                          <w:p>
                            <w:pPr>
                              <w:numPr>
                                <w:ilvl w:val="0"/>
                                <w:numId w:val="1"/>
                              </w:numPr>
                              <w:rPr>
                                <w:rFonts w:hint="eastAsia" w:ascii="楷体" w:hAnsi="楷体" w:eastAsia="楷体" w:cs="宋体"/>
                                <w:b/>
                                <w:spacing w:val="-2"/>
                                <w:szCs w:val="21"/>
                                <w:u w:val="single"/>
                              </w:rPr>
                            </w:pPr>
                            <w:r>
                              <w:rPr>
                                <w:rFonts w:hint="eastAsia" w:ascii="楷体" w:hAnsi="楷体" w:eastAsia="楷体" w:cs="宋体"/>
                                <w:b/>
                                <w:spacing w:val="-2"/>
                                <w:szCs w:val="21"/>
                                <w:highlight w:val="none"/>
                                <w:u w:val="single"/>
                              </w:rPr>
                              <w:t>客户服务热线</w:t>
                            </w:r>
                            <w:r>
                              <w:rPr>
                                <w:rFonts w:hint="eastAsia" w:ascii="楷体" w:hAnsi="楷体" w:eastAsia="楷体" w:cs="宋体"/>
                                <w:b/>
                                <w:spacing w:val="-2"/>
                                <w:szCs w:val="21"/>
                                <w:u w:val="single"/>
                              </w:rPr>
                              <w:t>：95319-</w:t>
                            </w:r>
                            <w:r>
                              <w:rPr>
                                <w:rFonts w:hint="eastAsia" w:ascii="楷体" w:hAnsi="楷体" w:eastAsia="楷体" w:cs="宋体"/>
                                <w:b/>
                                <w:spacing w:val="-2"/>
                                <w:szCs w:val="21"/>
                                <w:u w:val="single"/>
                                <w:lang w:val="en-US" w:eastAsia="zh-CN"/>
                              </w:rPr>
                              <w:t>8-2</w:t>
                            </w:r>
                            <w:r>
                              <w:rPr>
                                <w:rFonts w:hint="eastAsia" w:ascii="楷体" w:hAnsi="楷体" w:eastAsia="楷体" w:cs="宋体"/>
                                <w:b/>
                                <w:spacing w:val="-2"/>
                                <w:szCs w:val="21"/>
                                <w:u w:val="single"/>
                              </w:rPr>
                              <w:t>。</w:t>
                            </w:r>
                          </w:p>
                          <w:p>
                            <w:pPr>
                              <w:ind w:left="360" w:right="115" w:rightChars="55"/>
                              <w:rPr>
                                <w:rFonts w:hint="eastAsia" w:ascii="楷体" w:hAnsi="楷体" w:eastAsia="楷体"/>
                              </w:rPr>
                            </w:pPr>
                            <w:r>
                              <w:rPr>
                                <w:rFonts w:hint="eastAsia" w:ascii="楷体" w:hAnsi="楷体" w:eastAsia="楷体"/>
                              </w:rPr>
                              <w:t>以上为本产品的特别提示，详细内容请仔细阅读理财产品合同。</w:t>
                            </w:r>
                          </w:p>
                        </w:txbxContent>
                      </wps:txbx>
                      <wps:bodyPr vert="horz" wrap="square" anchor="t" anchorCtr="0" upright="1">
                        <a:spAutoFit/>
                      </wps:bodyPr>
                    </wps:wsp>
                  </a:graphicData>
                </a:graphic>
              </wp:anchor>
            </w:drawing>
          </mc:Choice>
          <mc:Fallback>
            <w:pict>
              <v:shape id="文本框 2" o:spid="_x0000_s1026" o:spt="202" type="#_x0000_t202" style="position:absolute;left:0pt;margin-left:-23.8pt;margin-top:-1.85pt;height:195.15pt;width:474.1pt;mso-position-horizontal-relative:margin;mso-wrap-distance-bottom:3.6pt;mso-wrap-distance-left:9pt;mso-wrap-distance-right:9pt;mso-wrap-distance-top:3.6pt;z-index:251659264;mso-width-relative:page;mso-height-relative:page;" fillcolor="#FFFFFF" filled="t" stroked="t" coordsize="21600,21600" o:gfxdata="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Hvcg3bZAAAACgEAAA8AAAAAAAAAAQAgAAAAIgAAAGRycy9kb3ducmV2&#10;LnhtbFBLAQIUABQAAAAIAIdO4kDredsjNAIAAIQEAAAOAAAAAAAAAAEAIAAAACgBAABkcnMvZTJv&#10;RG9jLnhtbFBLBQYAAAAABgAGAFkBAADOBQAAAAA=&#10;">
                <v:fill on="t" focussize="0,0"/>
                <v:stroke color="#000000" joinstyle="miter"/>
                <v:imagedata o:title=""/>
                <o:lock v:ext="edit" aspectratio="f"/>
                <v:textbox style="mso-fit-shape-to-text:t;">
                  <w:txbxContent>
                    <w:p>
                      <w:pPr>
                        <w:jc w:val="center"/>
                        <w:rPr>
                          <w:rFonts w:ascii="楷体" w:hAnsi="楷体" w:eastAsia="楷体"/>
                          <w:b/>
                          <w:bCs/>
                          <w:sz w:val="28"/>
                          <w:szCs w:val="32"/>
                        </w:rPr>
                      </w:pPr>
                      <w:r>
                        <w:rPr>
                          <w:rFonts w:ascii="楷体" w:hAnsi="楷体" w:eastAsia="楷体"/>
                          <w:b/>
                          <w:bCs/>
                          <w:sz w:val="28"/>
                          <w:szCs w:val="32"/>
                        </w:rPr>
                        <w:t>特别</w:t>
                      </w:r>
                      <w:r>
                        <w:rPr>
                          <w:rFonts w:hint="eastAsia" w:ascii="楷体" w:hAnsi="楷体" w:eastAsia="楷体"/>
                          <w:b/>
                          <w:bCs/>
                          <w:sz w:val="28"/>
                          <w:szCs w:val="32"/>
                        </w:rPr>
                        <w:t>提示</w:t>
                      </w:r>
                    </w:p>
                    <w:p>
                      <w:pPr>
                        <w:numPr>
                          <w:ilvl w:val="0"/>
                          <w:numId w:val="1"/>
                        </w:numPr>
                        <w:ind w:right="115" w:rightChars="55"/>
                        <w:rPr>
                          <w:rFonts w:ascii="楷体" w:hAnsi="楷体" w:eastAsia="楷体" w:cs="宋体"/>
                          <w:b/>
                          <w:spacing w:val="-2"/>
                          <w:szCs w:val="21"/>
                          <w:u w:val="single"/>
                        </w:rPr>
                      </w:pPr>
                      <w:r>
                        <w:rPr>
                          <w:rFonts w:hint="eastAsia" w:ascii="楷体" w:hAnsi="楷体" w:eastAsia="楷体" w:cs="宋体"/>
                          <w:b/>
                          <w:spacing w:val="-2"/>
                          <w:szCs w:val="21"/>
                          <w:u w:val="single"/>
                        </w:rPr>
                        <w:t>本产品为周期持有型理财产品</w:t>
                      </w:r>
                      <w:r>
                        <w:rPr>
                          <w:rFonts w:ascii="楷体" w:hAnsi="楷体" w:eastAsia="楷体" w:cs="宋体"/>
                          <w:b/>
                          <w:spacing w:val="-2"/>
                          <w:szCs w:val="21"/>
                          <w:u w:val="single"/>
                        </w:rPr>
                        <w:t>，</w:t>
                      </w:r>
                      <w:r>
                        <w:rPr>
                          <w:rFonts w:hint="eastAsia" w:ascii="楷体" w:hAnsi="楷体" w:eastAsia="楷体" w:cs="宋体"/>
                          <w:b/>
                          <w:spacing w:val="-2"/>
                          <w:szCs w:val="21"/>
                          <w:u w:val="single"/>
                        </w:rPr>
                        <w:t>客户持有</w:t>
                      </w:r>
                      <w:r>
                        <w:rPr>
                          <w:rFonts w:ascii="楷体" w:hAnsi="楷体" w:eastAsia="楷体" w:cs="宋体"/>
                          <w:b/>
                          <w:spacing w:val="-2"/>
                          <w:szCs w:val="21"/>
                          <w:u w:val="single"/>
                        </w:rPr>
                        <w:t>份额须按约定运作满足够天数后由系统发起全额自动赎回，在未按约定运作满足够天数前客户无权提前赎回份额。</w:t>
                      </w:r>
                    </w:p>
                    <w:p>
                      <w:pPr>
                        <w:numPr>
                          <w:ilvl w:val="0"/>
                          <w:numId w:val="1"/>
                        </w:numPr>
                        <w:ind w:right="115" w:rightChars="55"/>
                        <w:rPr>
                          <w:rFonts w:ascii="楷体" w:hAnsi="楷体" w:eastAsia="楷体" w:cs="宋体"/>
                          <w:b/>
                          <w:spacing w:val="-2"/>
                          <w:szCs w:val="21"/>
                          <w:u w:val="single"/>
                        </w:rPr>
                      </w:pPr>
                      <w:r>
                        <w:rPr>
                          <w:rFonts w:hint="eastAsia" w:ascii="楷体" w:hAnsi="楷体" w:eastAsia="楷体" w:cs="宋体"/>
                          <w:b/>
                          <w:spacing w:val="-2"/>
                          <w:szCs w:val="21"/>
                          <w:u w:val="single"/>
                        </w:rPr>
                        <w:t>本产品各份额设置有不同业绩比较基准，各</w:t>
                      </w:r>
                      <w:r>
                        <w:rPr>
                          <w:rFonts w:hint="eastAsia" w:ascii="楷体" w:hAnsi="楷体" w:eastAsia="楷体" w:cs="宋体"/>
                          <w:b/>
                          <w:spacing w:val="-2"/>
                          <w:szCs w:val="21"/>
                          <w:u w:val="single"/>
                          <w:lang w:val="en-US" w:eastAsia="zh-CN"/>
                        </w:rPr>
                        <w:t>份额</w:t>
                      </w:r>
                      <w:r>
                        <w:rPr>
                          <w:rFonts w:hint="eastAsia" w:ascii="楷体" w:hAnsi="楷体" w:eastAsia="楷体" w:cs="宋体"/>
                          <w:b/>
                          <w:spacing w:val="-2"/>
                          <w:szCs w:val="21"/>
                          <w:u w:val="single"/>
                        </w:rPr>
                        <w:t>按照设置的销售对象和销售起点进行销售，客户根据设置的销售条件自主选择购买。</w:t>
                      </w:r>
                    </w:p>
                    <w:p>
                      <w:pPr>
                        <w:numPr>
                          <w:ilvl w:val="0"/>
                          <w:numId w:val="1"/>
                        </w:numPr>
                        <w:rPr>
                          <w:rFonts w:hint="eastAsia" w:ascii="楷体" w:hAnsi="楷体" w:eastAsia="楷体" w:cs="宋体"/>
                          <w:b/>
                          <w:spacing w:val="-2"/>
                          <w:szCs w:val="21"/>
                          <w:u w:val="single"/>
                        </w:rPr>
                      </w:pPr>
                      <w:r>
                        <w:rPr>
                          <w:rFonts w:hint="eastAsia" w:ascii="楷体" w:hAnsi="楷体" w:eastAsia="楷体" w:cs="宋体"/>
                          <w:b/>
                          <w:spacing w:val="-2"/>
                          <w:szCs w:val="21"/>
                          <w:u w:val="single"/>
                        </w:rPr>
                        <w:t>业绩比较基准为管理人对本产品所设定的投资目标，不代表理财产品未来表现，不等于理财产品实际收益，不作为产品收益的业绩保证，投资者的实际收益由产品净值表现决定。</w:t>
                      </w:r>
                    </w:p>
                    <w:p>
                      <w:pPr>
                        <w:numPr>
                          <w:ilvl w:val="0"/>
                          <w:numId w:val="1"/>
                        </w:numPr>
                        <w:rPr>
                          <w:rFonts w:hint="eastAsia" w:ascii="楷体" w:hAnsi="楷体" w:eastAsia="楷体" w:cs="宋体"/>
                          <w:b/>
                          <w:spacing w:val="-2"/>
                          <w:szCs w:val="21"/>
                          <w:u w:val="single"/>
                        </w:rPr>
                      </w:pPr>
                      <w:r>
                        <w:rPr>
                          <w:rFonts w:hint="eastAsia" w:ascii="楷体" w:hAnsi="楷体" w:eastAsia="楷体" w:cs="宋体"/>
                          <w:b/>
                          <w:spacing w:val="-2"/>
                          <w:szCs w:val="21"/>
                          <w:u w:val="single"/>
                        </w:rPr>
                        <w:t>投资者持仓份额的产品净值含有未收取的超额业绩报酬</w:t>
                      </w:r>
                      <w:r>
                        <w:rPr>
                          <w:rFonts w:hint="eastAsia" w:ascii="楷体" w:hAnsi="楷体" w:eastAsia="楷体" w:cs="宋体"/>
                          <w:b/>
                          <w:spacing w:val="-2"/>
                          <w:szCs w:val="21"/>
                          <w:u w:val="single"/>
                          <w:lang w:eastAsia="zh-CN"/>
                        </w:rPr>
                        <w:t>（</w:t>
                      </w:r>
                      <w:r>
                        <w:rPr>
                          <w:rFonts w:hint="eastAsia" w:ascii="楷体" w:hAnsi="楷体" w:eastAsia="楷体" w:cs="宋体"/>
                          <w:b/>
                          <w:spacing w:val="-2"/>
                          <w:szCs w:val="21"/>
                          <w:u w:val="single"/>
                          <w:lang w:val="en-US" w:eastAsia="zh-CN"/>
                        </w:rPr>
                        <w:t>如有</w:t>
                      </w:r>
                      <w:r>
                        <w:rPr>
                          <w:rFonts w:hint="eastAsia" w:ascii="楷体" w:hAnsi="楷体" w:eastAsia="楷体" w:cs="宋体"/>
                          <w:b/>
                          <w:spacing w:val="-2"/>
                          <w:szCs w:val="21"/>
                          <w:u w:val="single"/>
                          <w:lang w:eastAsia="zh-CN"/>
                        </w:rPr>
                        <w:t>）</w:t>
                      </w:r>
                      <w:r>
                        <w:rPr>
                          <w:rFonts w:hint="eastAsia" w:ascii="楷体" w:hAnsi="楷体" w:eastAsia="楷体" w:cs="宋体"/>
                          <w:b/>
                          <w:spacing w:val="-2"/>
                          <w:szCs w:val="21"/>
                          <w:u w:val="single"/>
                        </w:rPr>
                        <w:t>，自动赎回兑付金额以实际入账金额为准。</w:t>
                      </w:r>
                    </w:p>
                    <w:p>
                      <w:pPr>
                        <w:numPr>
                          <w:ilvl w:val="0"/>
                          <w:numId w:val="1"/>
                        </w:numPr>
                        <w:rPr>
                          <w:rFonts w:hint="eastAsia" w:ascii="楷体" w:hAnsi="楷体" w:eastAsia="楷体" w:cs="宋体"/>
                          <w:b/>
                          <w:spacing w:val="-2"/>
                          <w:szCs w:val="21"/>
                          <w:u w:val="single"/>
                        </w:rPr>
                      </w:pPr>
                      <w:r>
                        <w:rPr>
                          <w:rFonts w:hint="eastAsia" w:ascii="楷体" w:hAnsi="楷体" w:eastAsia="楷体" w:cs="宋体"/>
                          <w:b/>
                          <w:spacing w:val="-2"/>
                          <w:szCs w:val="21"/>
                          <w:highlight w:val="none"/>
                          <w:u w:val="single"/>
                        </w:rPr>
                        <w:t>客户服务热线</w:t>
                      </w:r>
                      <w:r>
                        <w:rPr>
                          <w:rFonts w:hint="eastAsia" w:ascii="楷体" w:hAnsi="楷体" w:eastAsia="楷体" w:cs="宋体"/>
                          <w:b/>
                          <w:spacing w:val="-2"/>
                          <w:szCs w:val="21"/>
                          <w:u w:val="single"/>
                        </w:rPr>
                        <w:t>：95319-</w:t>
                      </w:r>
                      <w:r>
                        <w:rPr>
                          <w:rFonts w:hint="eastAsia" w:ascii="楷体" w:hAnsi="楷体" w:eastAsia="楷体" w:cs="宋体"/>
                          <w:b/>
                          <w:spacing w:val="-2"/>
                          <w:szCs w:val="21"/>
                          <w:u w:val="single"/>
                          <w:lang w:val="en-US" w:eastAsia="zh-CN"/>
                        </w:rPr>
                        <w:t>8-2</w:t>
                      </w:r>
                      <w:r>
                        <w:rPr>
                          <w:rFonts w:hint="eastAsia" w:ascii="楷体" w:hAnsi="楷体" w:eastAsia="楷体" w:cs="宋体"/>
                          <w:b/>
                          <w:spacing w:val="-2"/>
                          <w:szCs w:val="21"/>
                          <w:u w:val="single"/>
                        </w:rPr>
                        <w:t>。</w:t>
                      </w:r>
                    </w:p>
                    <w:p>
                      <w:pPr>
                        <w:ind w:left="360" w:right="115" w:rightChars="55"/>
                        <w:rPr>
                          <w:rFonts w:hint="eastAsia" w:ascii="楷体" w:hAnsi="楷体" w:eastAsia="楷体"/>
                        </w:rPr>
                      </w:pPr>
                      <w:r>
                        <w:rPr>
                          <w:rFonts w:hint="eastAsia" w:ascii="楷体" w:hAnsi="楷体" w:eastAsia="楷体"/>
                        </w:rPr>
                        <w:t>以上为本产品的特别提示，详细内容请仔细阅读理财产品合同。</w:t>
                      </w:r>
                    </w:p>
                  </w:txbxContent>
                </v:textbox>
                <w10:wrap type="square"/>
              </v:shape>
            </w:pict>
          </mc:Fallback>
        </mc:AlternateContent>
      </w:r>
      <w:r>
        <w:rPr>
          <w:rFonts w:hint="eastAsia" w:ascii="楷体" w:hAnsi="楷体" w:eastAsia="楷体"/>
        </w:rPr>
        <w:t xml:space="preserve"> </w:t>
      </w:r>
    </w:p>
    <w:p>
      <w:pPr>
        <w:pStyle w:val="13"/>
        <w:spacing w:before="0" w:beforeAutospacing="0" w:after="0" w:afterAutospacing="0" w:line="360" w:lineRule="auto"/>
        <w:jc w:val="center"/>
        <w:rPr>
          <w:rFonts w:hint="eastAsia" w:ascii="楷体" w:hAnsi="楷体" w:eastAsia="楷体"/>
          <w:b/>
          <w:sz w:val="36"/>
          <w:szCs w:val="36"/>
        </w:rPr>
      </w:pPr>
      <w:r>
        <w:rPr>
          <w:rFonts w:hint="eastAsia" w:ascii="楷体" w:hAnsi="楷体" w:eastAsia="楷体"/>
          <w:b/>
          <w:sz w:val="36"/>
          <w:szCs w:val="36"/>
        </w:rPr>
        <w:t>“苏银理财恒源融达1号”</w:t>
      </w:r>
    </w:p>
    <w:p>
      <w:pPr>
        <w:pStyle w:val="13"/>
        <w:spacing w:before="0" w:beforeAutospacing="0" w:after="0" w:afterAutospacing="0" w:line="360" w:lineRule="auto"/>
        <w:jc w:val="center"/>
        <w:rPr>
          <w:rFonts w:hint="eastAsia" w:ascii="楷体" w:hAnsi="楷体" w:eastAsia="楷体"/>
          <w:b/>
          <w:sz w:val="36"/>
          <w:szCs w:val="36"/>
        </w:rPr>
      </w:pPr>
      <w:r>
        <w:rPr>
          <w:rFonts w:hint="eastAsia" w:ascii="楷体" w:hAnsi="楷体" w:eastAsia="楷体"/>
          <w:b/>
          <w:sz w:val="36"/>
          <w:szCs w:val="36"/>
        </w:rPr>
        <w:t>理财产品合同</w:t>
      </w:r>
      <w:bookmarkStart w:id="0" w:name="_GoBack"/>
      <w:bookmarkEnd w:id="0"/>
    </w:p>
    <w:p>
      <w:pPr>
        <w:pStyle w:val="13"/>
        <w:spacing w:before="0" w:beforeAutospacing="0" w:after="0" w:afterAutospacing="0" w:line="360" w:lineRule="auto"/>
        <w:jc w:val="center"/>
        <w:rPr>
          <w:rFonts w:hint="eastAsia" w:ascii="楷体" w:hAnsi="楷体" w:eastAsia="楷体"/>
          <w:b/>
        </w:rPr>
      </w:pPr>
      <w:r>
        <w:rPr>
          <w:rFonts w:hint="eastAsia" w:ascii="楷体" w:hAnsi="楷体" w:eastAsia="楷体"/>
          <w:b/>
          <w:sz w:val="32"/>
          <w:szCs w:val="32"/>
        </w:rPr>
        <w:t>理财非存款、产品有风险、投资须谨慎</w:t>
      </w:r>
    </w:p>
    <w:p>
      <w:pPr>
        <w:pStyle w:val="13"/>
        <w:spacing w:before="0" w:beforeAutospacing="0" w:after="0" w:afterAutospacing="0" w:line="360" w:lineRule="auto"/>
        <w:jc w:val="center"/>
        <w:rPr>
          <w:rFonts w:hint="eastAsia" w:ascii="楷体" w:hAnsi="楷体" w:eastAsia="楷体"/>
          <w:b/>
        </w:rPr>
      </w:pPr>
      <w:r>
        <w:rPr>
          <w:rFonts w:hint="eastAsia" w:ascii="楷体" w:hAnsi="楷体" w:eastAsia="楷体"/>
          <w:b/>
        </w:rPr>
        <w:t>（202</w:t>
      </w:r>
      <w:r>
        <w:rPr>
          <w:rFonts w:hint="eastAsia" w:ascii="楷体" w:hAnsi="楷体" w:eastAsia="楷体"/>
          <w:b/>
          <w:lang w:val="en-US" w:eastAsia="zh-CN"/>
        </w:rPr>
        <w:t>5</w:t>
      </w:r>
      <w:r>
        <w:rPr>
          <w:rFonts w:hint="eastAsia" w:ascii="楷体" w:hAnsi="楷体" w:eastAsia="楷体"/>
          <w:b/>
        </w:rPr>
        <w:t>年</w:t>
      </w:r>
      <w:r>
        <w:rPr>
          <w:rFonts w:hint="eastAsia" w:ascii="楷体" w:hAnsi="楷体" w:eastAsia="楷体"/>
          <w:b/>
          <w:lang w:val="en-US" w:eastAsia="zh-CN"/>
        </w:rPr>
        <w:t>10</w:t>
      </w:r>
      <w:r>
        <w:rPr>
          <w:rFonts w:hint="eastAsia" w:ascii="楷体" w:hAnsi="楷体" w:eastAsia="楷体"/>
          <w:b/>
        </w:rPr>
        <w:t>月版）</w:t>
      </w:r>
    </w:p>
    <w:p>
      <w:pPr>
        <w:pStyle w:val="13"/>
        <w:spacing w:before="0" w:beforeAutospacing="0" w:after="0" w:afterAutospacing="0" w:line="360" w:lineRule="auto"/>
        <w:rPr>
          <w:rFonts w:hint="eastAsia" w:ascii="楷体" w:hAnsi="楷体" w:eastAsia="楷体"/>
          <w:b/>
          <w:sz w:val="30"/>
          <w:szCs w:val="30"/>
        </w:rPr>
      </w:pPr>
    </w:p>
    <w:tbl>
      <w:tblPr>
        <w:tblStyle w:val="15"/>
        <w:tblW w:w="9196" w:type="dxa"/>
        <w:tblInd w:w="-299"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93"/>
        <w:gridCol w:w="5670"/>
        <w:gridCol w:w="253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Borders>
              <w:top w:val="single" w:color="auto" w:sz="12" w:space="0"/>
              <w:left w:val="single" w:color="auto" w:sz="12" w:space="0"/>
              <w:bottom w:val="single" w:color="auto" w:sz="12" w:space="0"/>
              <w:right w:val="single" w:color="auto" w:sz="12" w:space="0"/>
            </w:tcBorders>
            <w:noWrap w:val="0"/>
            <w:vAlign w:val="top"/>
          </w:tcPr>
          <w:p>
            <w:pPr>
              <w:pStyle w:val="13"/>
              <w:spacing w:before="0" w:beforeAutospacing="0" w:after="0" w:afterAutospacing="0" w:line="360" w:lineRule="auto"/>
              <w:jc w:val="center"/>
              <w:rPr>
                <w:rFonts w:ascii="楷体" w:hAnsi="楷体" w:eastAsia="楷体"/>
                <w:sz w:val="18"/>
                <w:szCs w:val="18"/>
              </w:rPr>
            </w:pPr>
            <w:r>
              <w:rPr>
                <w:rStyle w:val="18"/>
                <w:rFonts w:hint="eastAsia" w:ascii="楷体" w:hAnsi="楷体" w:eastAsia="楷体"/>
                <w:bCs w:val="0"/>
                <w:sz w:val="18"/>
                <w:szCs w:val="18"/>
              </w:rPr>
              <w:t>序号</w:t>
            </w:r>
          </w:p>
        </w:tc>
        <w:tc>
          <w:tcPr>
            <w:tcW w:w="5670" w:type="dxa"/>
            <w:tcBorders>
              <w:top w:val="single" w:color="auto" w:sz="12" w:space="0"/>
              <w:left w:val="single" w:color="auto" w:sz="12" w:space="0"/>
              <w:bottom w:val="single" w:color="auto" w:sz="12" w:space="0"/>
              <w:right w:val="single" w:color="auto" w:sz="12" w:space="0"/>
            </w:tcBorders>
            <w:noWrap w:val="0"/>
            <w:vAlign w:val="top"/>
          </w:tcPr>
          <w:p>
            <w:pPr>
              <w:pStyle w:val="13"/>
              <w:spacing w:before="0" w:beforeAutospacing="0" w:after="0" w:afterAutospacing="0" w:line="360" w:lineRule="auto"/>
              <w:jc w:val="center"/>
              <w:rPr>
                <w:rFonts w:ascii="楷体" w:hAnsi="楷体" w:eastAsia="楷体"/>
                <w:sz w:val="18"/>
                <w:szCs w:val="18"/>
              </w:rPr>
            </w:pPr>
            <w:r>
              <w:rPr>
                <w:rStyle w:val="18"/>
                <w:rFonts w:hint="eastAsia" w:ascii="楷体" w:hAnsi="楷体" w:eastAsia="楷体"/>
                <w:bCs w:val="0"/>
                <w:sz w:val="18"/>
                <w:szCs w:val="18"/>
              </w:rPr>
              <w:t>理财产品合同中的具体文件名称</w:t>
            </w:r>
          </w:p>
        </w:tc>
        <w:tc>
          <w:tcPr>
            <w:tcW w:w="2533" w:type="dxa"/>
            <w:tcBorders>
              <w:top w:val="single" w:color="auto" w:sz="12" w:space="0"/>
              <w:left w:val="single" w:color="auto" w:sz="12" w:space="0"/>
              <w:bottom w:val="single" w:color="auto" w:sz="12" w:space="0"/>
              <w:right w:val="single" w:color="auto" w:sz="12" w:space="0"/>
            </w:tcBorders>
            <w:noWrap w:val="0"/>
            <w:vAlign w:val="top"/>
          </w:tcPr>
          <w:p>
            <w:pPr>
              <w:pStyle w:val="13"/>
              <w:spacing w:before="0" w:beforeAutospacing="0" w:after="0" w:afterAutospacing="0" w:line="360" w:lineRule="auto"/>
              <w:jc w:val="center"/>
              <w:rPr>
                <w:rFonts w:ascii="楷体" w:hAnsi="楷体" w:eastAsia="楷体"/>
                <w:sz w:val="18"/>
                <w:szCs w:val="18"/>
              </w:rPr>
            </w:pPr>
            <w:r>
              <w:rPr>
                <w:rStyle w:val="18"/>
                <w:rFonts w:hint="eastAsia" w:ascii="楷体" w:hAnsi="楷体" w:eastAsia="楷体"/>
                <w:bCs w:val="0"/>
                <w:sz w:val="18"/>
                <w:szCs w:val="18"/>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Borders>
              <w:top w:val="single" w:color="auto" w:sz="12" w:space="0"/>
              <w:left w:val="single" w:color="auto" w:sz="12" w:space="0"/>
              <w:bottom w:val="single" w:color="auto" w:sz="12" w:space="0"/>
              <w:right w:val="single" w:color="auto" w:sz="12" w:space="0"/>
            </w:tcBorders>
            <w:noWrap w:val="0"/>
            <w:vAlign w:val="top"/>
          </w:tcPr>
          <w:p>
            <w:pPr>
              <w:pStyle w:val="13"/>
              <w:spacing w:before="0" w:beforeAutospacing="0" w:after="0" w:afterAutospacing="0" w:line="360" w:lineRule="auto"/>
              <w:jc w:val="center"/>
              <w:rPr>
                <w:rFonts w:ascii="楷体" w:hAnsi="楷体" w:eastAsia="楷体"/>
                <w:sz w:val="18"/>
                <w:szCs w:val="18"/>
              </w:rPr>
            </w:pPr>
            <w:r>
              <w:rPr>
                <w:rFonts w:hint="eastAsia" w:ascii="楷体" w:hAnsi="楷体" w:eastAsia="楷体"/>
                <w:sz w:val="18"/>
                <w:szCs w:val="18"/>
              </w:rPr>
              <w:t>1</w:t>
            </w:r>
          </w:p>
        </w:tc>
        <w:tc>
          <w:tcPr>
            <w:tcW w:w="5670" w:type="dxa"/>
            <w:tcBorders>
              <w:top w:val="single" w:color="auto" w:sz="12" w:space="0"/>
              <w:left w:val="single" w:color="auto" w:sz="12" w:space="0"/>
              <w:bottom w:val="single" w:color="auto" w:sz="12" w:space="0"/>
              <w:right w:val="single" w:color="auto" w:sz="12" w:space="0"/>
            </w:tcBorders>
            <w:noWrap w:val="0"/>
            <w:vAlign w:val="top"/>
          </w:tcPr>
          <w:p>
            <w:pPr>
              <w:pStyle w:val="13"/>
              <w:spacing w:before="0" w:beforeAutospacing="0" w:after="0" w:afterAutospacing="0" w:line="360" w:lineRule="auto"/>
              <w:jc w:val="center"/>
              <w:rPr>
                <w:rFonts w:ascii="楷体" w:hAnsi="楷体" w:eastAsia="楷体"/>
                <w:sz w:val="18"/>
                <w:szCs w:val="18"/>
              </w:rPr>
            </w:pPr>
            <w:r>
              <w:rPr>
                <w:rFonts w:hint="eastAsia" w:ascii="楷体" w:hAnsi="楷体" w:eastAsia="楷体"/>
                <w:sz w:val="18"/>
                <w:szCs w:val="18"/>
              </w:rPr>
              <w:t>“苏银理财恒源融达1号”理财产品风险揭示书</w:t>
            </w:r>
          </w:p>
        </w:tc>
        <w:tc>
          <w:tcPr>
            <w:tcW w:w="2533" w:type="dxa"/>
            <w:tcBorders>
              <w:top w:val="single" w:color="auto" w:sz="12" w:space="0"/>
              <w:left w:val="single" w:color="auto" w:sz="12" w:space="0"/>
              <w:bottom w:val="single" w:color="auto" w:sz="12" w:space="0"/>
              <w:right w:val="single" w:color="auto" w:sz="12" w:space="0"/>
            </w:tcBorders>
            <w:noWrap w:val="0"/>
            <w:vAlign w:val="top"/>
          </w:tcPr>
          <w:p>
            <w:pPr>
              <w:pStyle w:val="13"/>
              <w:spacing w:before="0" w:beforeAutospacing="0" w:after="0" w:afterAutospacing="0" w:line="360" w:lineRule="auto"/>
              <w:jc w:val="center"/>
              <w:rPr>
                <w:rFonts w:ascii="楷体" w:hAnsi="楷体" w:eastAsia="楷体"/>
                <w:sz w:val="18"/>
                <w:szCs w:val="18"/>
              </w:rPr>
            </w:pPr>
            <w:r>
              <w:rPr>
                <w:rFonts w:hint="eastAsia" w:ascii="楷体" w:hAnsi="楷体" w:eastAsia="楷体"/>
                <w:sz w:val="18"/>
                <w:szCs w:val="18"/>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Borders>
              <w:top w:val="single" w:color="auto" w:sz="12" w:space="0"/>
              <w:left w:val="single" w:color="auto" w:sz="12" w:space="0"/>
              <w:bottom w:val="single" w:color="auto" w:sz="12" w:space="0"/>
              <w:right w:val="single" w:color="auto" w:sz="12" w:space="0"/>
            </w:tcBorders>
            <w:noWrap w:val="0"/>
            <w:vAlign w:val="top"/>
          </w:tcPr>
          <w:p>
            <w:pPr>
              <w:pStyle w:val="13"/>
              <w:spacing w:before="0" w:beforeAutospacing="0" w:after="0" w:afterAutospacing="0" w:line="360" w:lineRule="auto"/>
              <w:jc w:val="center"/>
              <w:rPr>
                <w:rFonts w:ascii="楷体" w:hAnsi="楷体" w:eastAsia="楷体"/>
                <w:sz w:val="18"/>
                <w:szCs w:val="18"/>
              </w:rPr>
            </w:pPr>
            <w:r>
              <w:rPr>
                <w:rFonts w:hint="eastAsia" w:ascii="楷体" w:hAnsi="楷体" w:eastAsia="楷体"/>
                <w:sz w:val="18"/>
                <w:szCs w:val="18"/>
              </w:rPr>
              <w:t>2</w:t>
            </w:r>
          </w:p>
        </w:tc>
        <w:tc>
          <w:tcPr>
            <w:tcW w:w="5670" w:type="dxa"/>
            <w:tcBorders>
              <w:top w:val="single" w:color="auto" w:sz="12" w:space="0"/>
              <w:left w:val="single" w:color="auto" w:sz="12" w:space="0"/>
              <w:bottom w:val="single" w:color="auto" w:sz="12" w:space="0"/>
              <w:right w:val="single" w:color="auto" w:sz="12" w:space="0"/>
            </w:tcBorders>
            <w:noWrap w:val="0"/>
            <w:vAlign w:val="top"/>
          </w:tcPr>
          <w:p>
            <w:pPr>
              <w:pStyle w:val="13"/>
              <w:spacing w:before="0" w:beforeAutospacing="0" w:after="0" w:afterAutospacing="0" w:line="360" w:lineRule="auto"/>
              <w:jc w:val="center"/>
              <w:rPr>
                <w:rFonts w:ascii="楷体" w:hAnsi="楷体" w:eastAsia="楷体"/>
                <w:sz w:val="18"/>
                <w:szCs w:val="18"/>
              </w:rPr>
            </w:pPr>
            <w:r>
              <w:rPr>
                <w:rFonts w:hint="eastAsia" w:ascii="楷体" w:hAnsi="楷体" w:eastAsia="楷体"/>
                <w:sz w:val="18"/>
                <w:szCs w:val="18"/>
              </w:rPr>
              <w:t>“苏银理财恒源融达1号”理财产品说明书</w:t>
            </w:r>
          </w:p>
        </w:tc>
        <w:tc>
          <w:tcPr>
            <w:tcW w:w="2533" w:type="dxa"/>
            <w:tcBorders>
              <w:top w:val="single" w:color="auto" w:sz="12" w:space="0"/>
              <w:left w:val="single" w:color="auto" w:sz="12" w:space="0"/>
              <w:bottom w:val="single" w:color="auto" w:sz="12" w:space="0"/>
              <w:right w:val="single" w:color="auto" w:sz="12" w:space="0"/>
            </w:tcBorders>
            <w:noWrap w:val="0"/>
            <w:vAlign w:val="top"/>
          </w:tcPr>
          <w:p>
            <w:pPr>
              <w:pStyle w:val="13"/>
              <w:spacing w:before="0" w:beforeAutospacing="0" w:after="0" w:afterAutospacing="0" w:line="360" w:lineRule="auto"/>
              <w:jc w:val="center"/>
              <w:rPr>
                <w:rFonts w:ascii="楷体" w:hAnsi="楷体" w:eastAsia="楷体"/>
                <w:sz w:val="18"/>
                <w:szCs w:val="18"/>
              </w:rPr>
            </w:pPr>
            <w:r>
              <w:rPr>
                <w:rFonts w:hint="eastAsia" w:ascii="楷体" w:hAnsi="楷体" w:eastAsia="楷体"/>
                <w:sz w:val="18"/>
                <w:szCs w:val="18"/>
              </w:rPr>
              <w:t>理财产品说明书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Borders>
              <w:top w:val="single" w:color="auto" w:sz="12" w:space="0"/>
              <w:left w:val="single" w:color="auto" w:sz="12" w:space="0"/>
              <w:bottom w:val="single" w:color="auto" w:sz="12" w:space="0"/>
              <w:right w:val="single" w:color="auto" w:sz="12" w:space="0"/>
            </w:tcBorders>
            <w:noWrap w:val="0"/>
            <w:vAlign w:val="top"/>
          </w:tcPr>
          <w:p>
            <w:pPr>
              <w:pStyle w:val="13"/>
              <w:spacing w:before="0" w:beforeAutospacing="0" w:after="0" w:afterAutospacing="0" w:line="360" w:lineRule="auto"/>
              <w:jc w:val="center"/>
              <w:rPr>
                <w:rFonts w:ascii="楷体" w:hAnsi="楷体" w:eastAsia="楷体"/>
                <w:sz w:val="18"/>
                <w:szCs w:val="18"/>
              </w:rPr>
            </w:pPr>
            <w:r>
              <w:rPr>
                <w:rFonts w:hint="eastAsia" w:ascii="楷体" w:hAnsi="楷体" w:eastAsia="楷体"/>
                <w:sz w:val="18"/>
                <w:szCs w:val="18"/>
              </w:rPr>
              <w:t>3</w:t>
            </w:r>
          </w:p>
        </w:tc>
        <w:tc>
          <w:tcPr>
            <w:tcW w:w="5670" w:type="dxa"/>
            <w:tcBorders>
              <w:top w:val="single" w:color="auto" w:sz="12" w:space="0"/>
              <w:left w:val="single" w:color="auto" w:sz="12" w:space="0"/>
              <w:bottom w:val="single" w:color="auto" w:sz="12" w:space="0"/>
              <w:right w:val="single" w:color="auto" w:sz="12" w:space="0"/>
            </w:tcBorders>
            <w:noWrap w:val="0"/>
            <w:vAlign w:val="top"/>
          </w:tcPr>
          <w:p>
            <w:pPr>
              <w:pStyle w:val="13"/>
              <w:spacing w:before="0" w:beforeAutospacing="0" w:after="0" w:afterAutospacing="0" w:line="360" w:lineRule="auto"/>
              <w:jc w:val="center"/>
              <w:rPr>
                <w:rFonts w:hint="eastAsia" w:ascii="楷体" w:hAnsi="楷体" w:eastAsia="楷体"/>
                <w:sz w:val="18"/>
                <w:szCs w:val="18"/>
              </w:rPr>
            </w:pPr>
            <w:r>
              <w:rPr>
                <w:rFonts w:hint="eastAsia" w:ascii="楷体" w:hAnsi="楷体" w:eastAsia="楷体"/>
                <w:sz w:val="18"/>
                <w:szCs w:val="18"/>
              </w:rPr>
              <w:t>苏银理财有限责任公司理财产品投资协议书</w:t>
            </w:r>
          </w:p>
        </w:tc>
        <w:tc>
          <w:tcPr>
            <w:tcW w:w="2533" w:type="dxa"/>
            <w:tcBorders>
              <w:top w:val="single" w:color="auto" w:sz="12" w:space="0"/>
              <w:left w:val="single" w:color="auto" w:sz="12" w:space="0"/>
              <w:bottom w:val="single" w:color="auto" w:sz="12" w:space="0"/>
              <w:right w:val="single" w:color="auto" w:sz="12" w:space="0"/>
            </w:tcBorders>
            <w:noWrap w:val="0"/>
            <w:vAlign w:val="top"/>
          </w:tcPr>
          <w:p>
            <w:pPr>
              <w:pStyle w:val="13"/>
              <w:spacing w:before="0" w:beforeAutospacing="0" w:after="0" w:afterAutospacing="0" w:line="360" w:lineRule="auto"/>
              <w:jc w:val="center"/>
              <w:rPr>
                <w:rFonts w:hint="eastAsia" w:ascii="楷体" w:hAnsi="楷体" w:eastAsia="楷体"/>
                <w:sz w:val="18"/>
                <w:szCs w:val="18"/>
              </w:rPr>
            </w:pPr>
            <w:r>
              <w:rPr>
                <w:rFonts w:hint="eastAsia" w:ascii="楷体" w:hAnsi="楷体" w:eastAsia="楷体"/>
                <w:sz w:val="18"/>
                <w:szCs w:val="18"/>
              </w:rPr>
              <w:t>理财产品投资协议书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Borders>
              <w:top w:val="single" w:color="auto" w:sz="12" w:space="0"/>
              <w:left w:val="single" w:color="auto" w:sz="12" w:space="0"/>
              <w:bottom w:val="single" w:color="auto" w:sz="12" w:space="0"/>
              <w:right w:val="single" w:color="auto" w:sz="12" w:space="0"/>
            </w:tcBorders>
            <w:noWrap w:val="0"/>
            <w:vAlign w:val="top"/>
          </w:tcPr>
          <w:p>
            <w:pPr>
              <w:pStyle w:val="13"/>
              <w:spacing w:before="0" w:beforeAutospacing="0" w:after="0" w:afterAutospacing="0" w:line="360" w:lineRule="auto"/>
              <w:jc w:val="center"/>
              <w:rPr>
                <w:rFonts w:ascii="楷体" w:hAnsi="楷体" w:eastAsia="楷体"/>
                <w:sz w:val="18"/>
                <w:szCs w:val="18"/>
              </w:rPr>
            </w:pPr>
            <w:r>
              <w:rPr>
                <w:rFonts w:hint="eastAsia" w:ascii="楷体" w:hAnsi="楷体" w:eastAsia="楷体"/>
                <w:sz w:val="18"/>
                <w:szCs w:val="18"/>
              </w:rPr>
              <w:t>4</w:t>
            </w:r>
          </w:p>
        </w:tc>
        <w:tc>
          <w:tcPr>
            <w:tcW w:w="5670" w:type="dxa"/>
            <w:tcBorders>
              <w:top w:val="single" w:color="auto" w:sz="12" w:space="0"/>
              <w:left w:val="single" w:color="auto" w:sz="12" w:space="0"/>
              <w:bottom w:val="single" w:color="auto" w:sz="12" w:space="0"/>
              <w:right w:val="single" w:color="auto" w:sz="12" w:space="0"/>
            </w:tcBorders>
            <w:noWrap w:val="0"/>
            <w:vAlign w:val="top"/>
          </w:tcPr>
          <w:p>
            <w:pPr>
              <w:pStyle w:val="13"/>
              <w:spacing w:before="0" w:beforeAutospacing="0" w:after="0" w:afterAutospacing="0" w:line="360" w:lineRule="auto"/>
              <w:jc w:val="center"/>
              <w:rPr>
                <w:rFonts w:ascii="楷体" w:hAnsi="楷体" w:eastAsia="楷体"/>
                <w:sz w:val="18"/>
                <w:szCs w:val="18"/>
              </w:rPr>
            </w:pPr>
            <w:r>
              <w:rPr>
                <w:rFonts w:hint="eastAsia" w:ascii="楷体" w:hAnsi="楷体" w:eastAsia="楷体"/>
                <w:sz w:val="18"/>
                <w:szCs w:val="18"/>
              </w:rPr>
              <w:t>投资者权益须知</w:t>
            </w:r>
            <w:r>
              <w:rPr>
                <w:rStyle w:val="21"/>
                <w:rFonts w:hint="eastAsia" w:ascii="楷体" w:hAnsi="楷体" w:eastAsia="楷体"/>
                <w:sz w:val="18"/>
                <w:szCs w:val="18"/>
              </w:rPr>
              <w:footnoteReference w:id="0"/>
            </w:r>
          </w:p>
        </w:tc>
        <w:tc>
          <w:tcPr>
            <w:tcW w:w="2533" w:type="dxa"/>
            <w:tcBorders>
              <w:top w:val="single" w:color="auto" w:sz="12" w:space="0"/>
              <w:left w:val="single" w:color="auto" w:sz="12" w:space="0"/>
              <w:bottom w:val="single" w:color="auto" w:sz="12" w:space="0"/>
              <w:right w:val="single" w:color="auto" w:sz="12" w:space="0"/>
            </w:tcBorders>
            <w:noWrap w:val="0"/>
            <w:vAlign w:val="top"/>
          </w:tcPr>
          <w:p>
            <w:pPr>
              <w:pStyle w:val="13"/>
              <w:spacing w:before="0" w:beforeAutospacing="0" w:after="0" w:afterAutospacing="0" w:line="360" w:lineRule="auto"/>
              <w:jc w:val="center"/>
              <w:rPr>
                <w:rFonts w:ascii="楷体" w:hAnsi="楷体" w:eastAsia="楷体"/>
                <w:sz w:val="18"/>
                <w:szCs w:val="18"/>
              </w:rPr>
            </w:pPr>
            <w:r>
              <w:rPr>
                <w:rFonts w:hint="eastAsia" w:ascii="楷体" w:hAnsi="楷体" w:eastAsia="楷体"/>
                <w:sz w:val="18"/>
                <w:szCs w:val="18"/>
              </w:rPr>
              <w:t>投资者权益须知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Borders>
              <w:top w:val="single" w:color="auto" w:sz="12" w:space="0"/>
              <w:left w:val="single" w:color="auto" w:sz="12" w:space="0"/>
              <w:bottom w:val="single" w:color="auto" w:sz="12" w:space="0"/>
              <w:right w:val="single" w:color="auto" w:sz="12" w:space="0"/>
            </w:tcBorders>
            <w:noWrap w:val="0"/>
            <w:vAlign w:val="top"/>
          </w:tcPr>
          <w:p>
            <w:pPr>
              <w:pStyle w:val="13"/>
              <w:spacing w:before="0" w:beforeAutospacing="0" w:after="0" w:afterAutospacing="0" w:line="360" w:lineRule="auto"/>
              <w:jc w:val="center"/>
              <w:rPr>
                <w:rFonts w:hint="eastAsia" w:ascii="楷体" w:hAnsi="楷体" w:eastAsia="楷体"/>
                <w:sz w:val="18"/>
                <w:szCs w:val="18"/>
              </w:rPr>
            </w:pPr>
            <w:r>
              <w:rPr>
                <w:rFonts w:hint="eastAsia" w:ascii="楷体" w:hAnsi="楷体" w:eastAsia="楷体"/>
                <w:sz w:val="18"/>
                <w:szCs w:val="18"/>
              </w:rPr>
              <w:t>5</w:t>
            </w:r>
          </w:p>
        </w:tc>
        <w:tc>
          <w:tcPr>
            <w:tcW w:w="5670" w:type="dxa"/>
            <w:tcBorders>
              <w:top w:val="single" w:color="auto" w:sz="12" w:space="0"/>
              <w:left w:val="single" w:color="auto" w:sz="12" w:space="0"/>
              <w:bottom w:val="single" w:color="auto" w:sz="12" w:space="0"/>
              <w:right w:val="single" w:color="auto" w:sz="12" w:space="0"/>
            </w:tcBorders>
            <w:noWrap w:val="0"/>
            <w:vAlign w:val="top"/>
          </w:tcPr>
          <w:p>
            <w:pPr>
              <w:pStyle w:val="13"/>
              <w:spacing w:before="0" w:beforeAutospacing="0" w:after="0" w:afterAutospacing="0" w:line="360" w:lineRule="auto"/>
              <w:jc w:val="center"/>
              <w:rPr>
                <w:rFonts w:hint="eastAsia" w:ascii="楷体" w:hAnsi="楷体" w:eastAsia="楷体"/>
                <w:sz w:val="18"/>
                <w:szCs w:val="18"/>
              </w:rPr>
            </w:pPr>
            <w:r>
              <w:rPr>
                <w:rFonts w:hint="eastAsia" w:ascii="楷体" w:hAnsi="楷体" w:eastAsia="楷体"/>
                <w:sz w:val="18"/>
                <w:szCs w:val="18"/>
              </w:rPr>
              <w:t>理财产品（代理）销售协议书</w:t>
            </w:r>
            <w:r>
              <w:rPr>
                <w:rStyle w:val="21"/>
                <w:rFonts w:ascii="楷体" w:hAnsi="楷体" w:eastAsia="楷体"/>
              </w:rPr>
              <w:footnoteReference w:id="1"/>
            </w:r>
          </w:p>
        </w:tc>
        <w:tc>
          <w:tcPr>
            <w:tcW w:w="2533" w:type="dxa"/>
            <w:tcBorders>
              <w:top w:val="single" w:color="auto" w:sz="12" w:space="0"/>
              <w:left w:val="single" w:color="auto" w:sz="12" w:space="0"/>
              <w:bottom w:val="single" w:color="auto" w:sz="12" w:space="0"/>
              <w:right w:val="single" w:color="auto" w:sz="12" w:space="0"/>
            </w:tcBorders>
            <w:noWrap w:val="0"/>
            <w:vAlign w:val="top"/>
          </w:tcPr>
          <w:p>
            <w:pPr>
              <w:pStyle w:val="13"/>
              <w:spacing w:before="0" w:beforeAutospacing="0" w:after="0" w:afterAutospacing="0" w:line="360" w:lineRule="auto"/>
              <w:jc w:val="center"/>
              <w:rPr>
                <w:rFonts w:hint="eastAsia" w:ascii="楷体" w:hAnsi="楷体" w:eastAsia="楷体"/>
                <w:sz w:val="18"/>
                <w:szCs w:val="18"/>
              </w:rPr>
            </w:pPr>
            <w:r>
              <w:rPr>
                <w:rFonts w:hint="eastAsia" w:ascii="楷体" w:hAnsi="楷体" w:eastAsia="楷体"/>
                <w:sz w:val="18"/>
                <w:szCs w:val="18"/>
              </w:rPr>
              <w:t>理财产品（代理）销售协议书</w:t>
            </w:r>
          </w:p>
        </w:tc>
      </w:tr>
    </w:tbl>
    <w:p>
      <w:pPr>
        <w:pStyle w:val="13"/>
        <w:rPr>
          <w:rFonts w:hint="eastAsia" w:ascii="楷体" w:hAnsi="楷体" w:eastAsia="楷体"/>
        </w:rPr>
      </w:pPr>
    </w:p>
    <w:p>
      <w:pPr>
        <w:pStyle w:val="13"/>
        <w:spacing w:before="0" w:beforeAutospacing="0" w:after="0" w:afterAutospacing="0" w:line="280" w:lineRule="atLeast"/>
        <w:rPr>
          <w:rFonts w:hint="eastAsia" w:ascii="楷体" w:hAnsi="楷体" w:eastAsia="楷体"/>
        </w:rPr>
      </w:pPr>
      <w:r>
        <w:rPr>
          <w:rStyle w:val="18"/>
          <w:rFonts w:hint="eastAsia" w:ascii="楷体" w:hAnsi="楷体" w:eastAsia="楷体"/>
          <w:bCs w:val="0"/>
        </w:rPr>
        <w:t>郑重提示：</w:t>
      </w:r>
    </w:p>
    <w:p>
      <w:pPr>
        <w:pStyle w:val="13"/>
        <w:spacing w:before="156" w:beforeLines="50" w:beforeAutospacing="0" w:after="0" w:afterAutospacing="0"/>
        <w:ind w:firstLine="480" w:firstLineChars="200"/>
        <w:rPr>
          <w:rFonts w:hint="eastAsia" w:ascii="楷体" w:hAnsi="楷体" w:eastAsia="楷体"/>
        </w:rPr>
      </w:pPr>
      <w:r>
        <w:rPr>
          <w:rFonts w:hint="eastAsia" w:ascii="楷体" w:hAnsi="楷体" w:eastAsia="楷体" w:cs="Times New Roman"/>
        </w:rPr>
        <w:t>《风险揭示书》、《理财产品说明书》、《</w:t>
      </w:r>
      <w:r>
        <w:rPr>
          <w:rFonts w:hint="eastAsia" w:ascii="楷体" w:hAnsi="楷体" w:eastAsia="楷体" w:cs="Times New Roman"/>
          <w:lang w:eastAsia="zh-CN"/>
        </w:rPr>
        <w:t>理财产品（代理）销售协议书</w:t>
      </w:r>
      <w:r>
        <w:rPr>
          <w:rFonts w:hint="eastAsia" w:ascii="楷体" w:hAnsi="楷体" w:eastAsia="楷体" w:cs="Times New Roman"/>
        </w:rPr>
        <w:t>》、《理财产品投资协议书》、《投资者权益须知》等文件共同构成一份完整且不可分割的理财产品合同。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重新完成风险承受能力评估。</w:t>
      </w:r>
    </w:p>
    <w:p>
      <w:pPr>
        <w:pStyle w:val="13"/>
        <w:spacing w:before="0" w:beforeAutospacing="0" w:after="0" w:afterAutospacing="0"/>
        <w:ind w:firstLine="480" w:firstLineChars="200"/>
        <w:rPr>
          <w:rFonts w:ascii="楷体" w:hAnsi="楷体" w:eastAsia="楷体" w:cs="Times New Roman"/>
        </w:rPr>
      </w:pPr>
      <w:r>
        <w:rPr>
          <w:rFonts w:hint="eastAsia" w:ascii="楷体" w:hAnsi="楷体" w:eastAsia="楷体" w:cs="Times New Roman"/>
        </w:rPr>
        <w:t>为了维护您的权益，请在签署有关理财产品销售文件前，仔细阅读理财产品销售文件各条款（特别是“黑体字”、划线条款以及“★”标识），充分了解理财业务的运作细则，各方的权利、义务和责任。如有疑问，可向理财产品管理人或销售机构咨询。</w:t>
      </w:r>
    </w:p>
    <w:p>
      <w:pPr>
        <w:rPr>
          <w:rFonts w:ascii="楷体" w:hAnsi="楷体" w:eastAsia="楷体"/>
        </w:rPr>
        <w:sectPr>
          <w:headerReference r:id="rId6" w:type="first"/>
          <w:headerReference r:id="rId4" w:type="default"/>
          <w:footerReference r:id="rId7" w:type="default"/>
          <w:headerReference r:id="rId5" w:type="even"/>
          <w:pgSz w:w="11906" w:h="16838"/>
          <w:pgMar w:top="1440" w:right="1800" w:bottom="1440" w:left="1701" w:header="851" w:footer="992" w:gutter="0"/>
          <w:cols w:space="720" w:num="1"/>
          <w:docGrid w:type="lines" w:linePitch="312" w:charSpace="0"/>
        </w:sectPr>
      </w:pPr>
    </w:p>
    <w:p>
      <w:pPr>
        <w:pStyle w:val="13"/>
        <w:pageBreakBefore/>
        <w:spacing w:before="0" w:beforeAutospacing="0" w:after="0" w:afterAutospacing="0" w:line="360" w:lineRule="auto"/>
        <w:jc w:val="center"/>
        <w:rPr>
          <w:rFonts w:hint="eastAsia" w:ascii="楷体" w:hAnsi="楷体" w:eastAsia="楷体"/>
          <w:b/>
          <w:sz w:val="36"/>
          <w:szCs w:val="36"/>
        </w:rPr>
      </w:pPr>
      <w:r>
        <w:rPr>
          <w:rFonts w:hint="eastAsia" w:ascii="楷体" w:hAnsi="楷体" w:eastAsia="楷体"/>
          <w:b/>
          <w:sz w:val="36"/>
          <w:szCs w:val="36"/>
        </w:rPr>
        <w:t>“苏银理财恒源融达1号”理财产品风险揭示书</w:t>
      </w:r>
    </w:p>
    <w:p>
      <w:pPr>
        <w:jc w:val="center"/>
        <w:rPr>
          <w:rFonts w:hint="eastAsia" w:ascii="楷体" w:hAnsi="楷体" w:eastAsia="楷体" w:cs="宋体"/>
          <w:b/>
          <w:kern w:val="0"/>
          <w:sz w:val="32"/>
          <w:szCs w:val="32"/>
        </w:rPr>
      </w:pPr>
      <w:r>
        <w:rPr>
          <w:rFonts w:hint="eastAsia" w:ascii="楷体" w:hAnsi="楷体" w:eastAsia="楷体" w:cs="宋体"/>
          <w:b/>
          <w:kern w:val="0"/>
          <w:sz w:val="32"/>
          <w:szCs w:val="32"/>
        </w:rPr>
        <w:t>理财非存款、产品有风险、投资须谨慎</w:t>
      </w:r>
    </w:p>
    <w:p>
      <w:pPr>
        <w:pStyle w:val="13"/>
        <w:spacing w:before="0" w:beforeAutospacing="0" w:after="0" w:afterAutospacing="0"/>
        <w:rPr>
          <w:rFonts w:ascii="楷体" w:hAnsi="楷体" w:eastAsia="楷体" w:cs="Times New Roman"/>
        </w:rPr>
      </w:pPr>
      <w:r>
        <w:rPr>
          <w:rFonts w:hint="eastAsia" w:ascii="楷体" w:hAnsi="楷体" w:eastAsia="楷体" w:cs="Times New Roman"/>
        </w:rPr>
        <w:t>尊敬的投资者：</w:t>
      </w:r>
    </w:p>
    <w:p>
      <w:pPr>
        <w:pStyle w:val="13"/>
        <w:spacing w:before="0" w:beforeAutospacing="0" w:after="0" w:afterAutospacing="0"/>
        <w:ind w:firstLine="480" w:firstLineChars="200"/>
        <w:rPr>
          <w:rFonts w:hint="eastAsia" w:ascii="楷体" w:hAnsi="楷体" w:eastAsia="楷体" w:cs="Times New Roman"/>
        </w:rPr>
      </w:pPr>
      <w:r>
        <w:rPr>
          <w:rFonts w:hint="eastAsia" w:ascii="楷体" w:hAnsi="楷体" w:eastAsia="楷体" w:cs="Times New Roman"/>
        </w:rPr>
        <w:t>由于理财资金在管理运用过程中可能面临多种风险因素，根据</w:t>
      </w:r>
      <w:r>
        <w:rPr>
          <w:rFonts w:hint="eastAsia" w:ascii="楷体" w:hAnsi="楷体" w:eastAsia="楷体" w:cs="Times New Roman"/>
          <w:lang w:val="en-US" w:eastAsia="zh-CN"/>
        </w:rPr>
        <w:t>国家金融监督管理总局（以下简称“金融监管总局”）</w:t>
      </w:r>
      <w:r>
        <w:rPr>
          <w:rFonts w:hint="eastAsia" w:ascii="楷体" w:hAnsi="楷体" w:eastAsia="楷体" w:cs="Times New Roman"/>
        </w:rPr>
        <w:t>相关监管规定，苏银理财有限责任公司（以下简称“苏银理财”）作为本理财产品的产品管理人郑重提示您：在您选择购买理财产品前，请仔细阅读本理财产品完整合同（包括《风险揭示书》、《理财产品说明书》、《投资者权益须知》、《理财产品投资协议书》和《理财产品（代理）销售协议书》），了解理财产品具体情况；在您购买理财产品后，请关注本理财产品的信息披露，及时获取相关信息。</w:t>
      </w:r>
    </w:p>
    <w:p>
      <w:pPr>
        <w:pStyle w:val="13"/>
        <w:spacing w:before="0" w:beforeAutospacing="0" w:after="0" w:afterAutospacing="0"/>
        <w:ind w:firstLine="480" w:firstLineChars="200"/>
        <w:rPr>
          <w:rFonts w:hint="eastAsia" w:ascii="楷体" w:hAnsi="楷体" w:eastAsia="楷体" w:cs="Times New Roman"/>
        </w:rPr>
      </w:pPr>
      <w:r>
        <w:rPr>
          <w:rFonts w:hint="eastAsia" w:ascii="楷体" w:hAnsi="楷体" w:eastAsia="楷体" w:cs="Times New Roman"/>
        </w:rPr>
        <w:t>苏银理财作为本理财产品管理人承诺以诚实信用、勤勉尽责的原则管理和运用理财产品资产，</w:t>
      </w:r>
      <w:r>
        <w:rPr>
          <w:rFonts w:hint="eastAsia" w:ascii="楷体" w:hAnsi="楷体" w:eastAsia="楷体" w:cs="Times New Roman"/>
          <w:b/>
        </w:rPr>
        <w:t>但不保证理财产品一定盈利，也不保证最低收益，极端情况下有可能会损失部分甚至全部本金。</w:t>
      </w:r>
      <w:r>
        <w:rPr>
          <w:rFonts w:hint="eastAsia" w:ascii="楷体" w:hAnsi="楷体" w:eastAsia="楷体" w:cs="Times New Roman"/>
        </w:rPr>
        <w:t>本风险揭示书旨在揭示本理财产品可能面临的各种风险，请您务必充分认识以下风险。</w:t>
      </w:r>
    </w:p>
    <w:p>
      <w:pPr>
        <w:numPr>
          <w:ilvl w:val="0"/>
          <w:numId w:val="2"/>
        </w:numPr>
        <w:tabs>
          <w:tab w:val="left" w:pos="1134"/>
        </w:tabs>
        <w:ind w:left="0" w:firstLine="560" w:firstLineChars="200"/>
        <w:rPr>
          <w:rFonts w:hint="eastAsia" w:ascii="楷体" w:hAnsi="楷体" w:eastAsia="楷体"/>
          <w:sz w:val="24"/>
          <w:szCs w:val="24"/>
        </w:rPr>
      </w:pPr>
      <w:r>
        <w:rPr>
          <w:rFonts w:hint="eastAsia" w:ascii="楷体" w:hAnsi="楷体" w:eastAsia="楷体"/>
          <w:sz w:val="28"/>
          <w:szCs w:val="28"/>
        </w:rPr>
        <w:t>风险揭示</w:t>
      </w:r>
    </w:p>
    <w:p>
      <w:pPr>
        <w:pStyle w:val="13"/>
        <w:spacing w:before="0" w:beforeAutospacing="0" w:after="0" w:afterAutospacing="0"/>
        <w:ind w:firstLine="480" w:firstLineChars="200"/>
        <w:rPr>
          <w:rFonts w:hint="eastAsia" w:ascii="楷体" w:hAnsi="楷体" w:eastAsia="楷体" w:cs="Times New Roman"/>
        </w:rPr>
      </w:pPr>
      <w:r>
        <w:rPr>
          <w:rFonts w:hint="eastAsia" w:ascii="楷体" w:hAnsi="楷体" w:eastAsia="楷体" w:cs="Times New Roman"/>
        </w:rPr>
        <w:t>请投资者根据自身理财目标、投资经验、财务状况、风险承受能力以及其他相关情况慎重考虑购买本理财产品。本风险揭示书列示的风险指理财产品项下可能涉及的风险，包括但不限于：</w:t>
      </w:r>
    </w:p>
    <w:p>
      <w:pPr>
        <w:numPr>
          <w:ilvl w:val="0"/>
          <w:numId w:val="3"/>
        </w:numPr>
        <w:tabs>
          <w:tab w:val="left" w:pos="993"/>
        </w:tabs>
        <w:ind w:left="0" w:firstLine="482" w:firstLineChars="200"/>
        <w:rPr>
          <w:rFonts w:hint="eastAsia" w:ascii="楷体" w:hAnsi="楷体" w:eastAsia="楷体"/>
          <w:sz w:val="24"/>
          <w:szCs w:val="24"/>
        </w:rPr>
      </w:pPr>
      <w:r>
        <w:rPr>
          <w:rFonts w:hint="eastAsia" w:ascii="楷体" w:hAnsi="楷体" w:eastAsia="楷体"/>
          <w:b/>
          <w:sz w:val="24"/>
          <w:szCs w:val="24"/>
        </w:rPr>
        <w:t>政策风险：</w:t>
      </w:r>
      <w:r>
        <w:rPr>
          <w:rFonts w:hint="eastAsia" w:ascii="楷体" w:hAnsi="楷体" w:eastAsia="楷体"/>
          <w:sz w:val="24"/>
          <w:szCs w:val="24"/>
        </w:rPr>
        <w:t>本理财产品是根据当前相关法律法规、监管规定和国家政策设计的。如国家宏观政策以及市场相关法律法规、监管规定发生变化，可能影响理财产品的发行、交易、投资、兑付等工作流程的正常进行，从而影响本理财产品的投资运作，则投资者可能面临本金和收益遭受部分甚至全部损失的风险。</w:t>
      </w:r>
    </w:p>
    <w:p>
      <w:pPr>
        <w:numPr>
          <w:ilvl w:val="0"/>
          <w:numId w:val="3"/>
        </w:numPr>
        <w:tabs>
          <w:tab w:val="left" w:pos="993"/>
        </w:tabs>
        <w:ind w:left="0" w:firstLine="482" w:firstLineChars="200"/>
        <w:rPr>
          <w:rFonts w:hint="eastAsia" w:ascii="楷体" w:hAnsi="楷体" w:eastAsia="楷体"/>
          <w:b/>
          <w:sz w:val="24"/>
          <w:szCs w:val="24"/>
        </w:rPr>
      </w:pPr>
      <w:r>
        <w:rPr>
          <w:rFonts w:hint="eastAsia" w:ascii="楷体" w:hAnsi="楷体" w:eastAsia="楷体"/>
          <w:b/>
          <w:sz w:val="24"/>
          <w:szCs w:val="24"/>
        </w:rPr>
        <w:t>信用风险：</w:t>
      </w:r>
      <w:r>
        <w:rPr>
          <w:rFonts w:hint="eastAsia" w:ascii="楷体" w:hAnsi="楷体" w:eastAsia="楷体"/>
          <w:sz w:val="24"/>
          <w:szCs w:val="24"/>
        </w:rPr>
        <w:t>本理财产品投资于固定收益类资产，因此有可能由于发行主体或交易对手信用状况恶化导致交易违约，致使本理财产品到期实际收益不足业绩比较基准，该种情况下，苏银理财有限责任公司将按照投资实际收益情况，并以资产变现实际收到的资金为限支付投资人收益，投资人将自行承担由此而导致本金和收益遭受部分甚至全部损失的风险。</w:t>
      </w:r>
    </w:p>
    <w:p>
      <w:pPr>
        <w:numPr>
          <w:ilvl w:val="0"/>
          <w:numId w:val="3"/>
        </w:numPr>
        <w:tabs>
          <w:tab w:val="left" w:pos="993"/>
        </w:tabs>
        <w:ind w:left="0" w:firstLine="482" w:firstLineChars="200"/>
        <w:rPr>
          <w:rFonts w:hint="eastAsia" w:ascii="楷体" w:hAnsi="楷体" w:eastAsia="楷体"/>
          <w:sz w:val="24"/>
          <w:szCs w:val="24"/>
        </w:rPr>
      </w:pPr>
      <w:r>
        <w:rPr>
          <w:rFonts w:hint="eastAsia" w:ascii="楷体" w:hAnsi="楷体" w:eastAsia="楷体"/>
          <w:b/>
          <w:sz w:val="24"/>
          <w:szCs w:val="24"/>
        </w:rPr>
        <w:t>市场风险：</w:t>
      </w:r>
      <w:r>
        <w:rPr>
          <w:rFonts w:hint="eastAsia" w:ascii="楷体" w:hAnsi="楷体" w:eastAsia="楷体"/>
          <w:sz w:val="24"/>
          <w:szCs w:val="24"/>
        </w:rPr>
        <w:t>本理财产品投资的债券、股票等资产的价格受到经济因素、政治因素、投资心理和交易制度等各种因素的影响，可能导致本理财产品资产收益水平变化，投资者可能面临本金和收益遭受部分甚至全部损失的风险。</w:t>
      </w:r>
    </w:p>
    <w:p>
      <w:pPr>
        <w:numPr>
          <w:ilvl w:val="0"/>
          <w:numId w:val="3"/>
        </w:numPr>
        <w:tabs>
          <w:tab w:val="left" w:pos="993"/>
        </w:tabs>
        <w:ind w:left="0" w:firstLine="482" w:firstLineChars="200"/>
        <w:rPr>
          <w:rFonts w:hint="eastAsia" w:ascii="楷体" w:hAnsi="楷体" w:eastAsia="楷体"/>
          <w:sz w:val="24"/>
          <w:szCs w:val="24"/>
        </w:rPr>
      </w:pPr>
      <w:r>
        <w:rPr>
          <w:rFonts w:hint="eastAsia" w:ascii="楷体" w:hAnsi="楷体" w:eastAsia="楷体"/>
          <w:b/>
          <w:sz w:val="24"/>
          <w:szCs w:val="24"/>
          <w:lang w:val="en-US" w:eastAsia="zh-CN"/>
        </w:rPr>
        <w:t>本金及理财产品收益风险：</w:t>
      </w:r>
      <w:r>
        <w:rPr>
          <w:rFonts w:hint="eastAsia" w:ascii="楷体" w:hAnsi="楷体" w:eastAsia="楷体"/>
          <w:sz w:val="24"/>
          <w:szCs w:val="24"/>
          <w:lang w:val="en-US" w:eastAsia="zh-CN"/>
        </w:rPr>
        <w:t>本理财计划不等同于银行存款，不保障投资者投资理财的本金，不保证理财收益，投资者的本金和理财收益（如有）均可能随理财计划投资盈亏而浮动，在最不利的情况，投资者可能无法取得理财收益甚至损失部分或全部本金。</w:t>
      </w:r>
    </w:p>
    <w:p>
      <w:pPr>
        <w:numPr>
          <w:ilvl w:val="0"/>
          <w:numId w:val="3"/>
        </w:numPr>
        <w:tabs>
          <w:tab w:val="left" w:pos="993"/>
        </w:tabs>
        <w:ind w:left="0" w:firstLine="482" w:firstLineChars="200"/>
        <w:rPr>
          <w:rFonts w:hint="eastAsia" w:ascii="楷体" w:hAnsi="楷体" w:eastAsia="楷体"/>
          <w:b/>
          <w:sz w:val="24"/>
          <w:szCs w:val="24"/>
        </w:rPr>
      </w:pPr>
      <w:r>
        <w:rPr>
          <w:rFonts w:hint="eastAsia" w:ascii="楷体" w:hAnsi="楷体" w:eastAsia="楷体"/>
          <w:b/>
          <w:sz w:val="24"/>
          <w:szCs w:val="24"/>
        </w:rPr>
        <w:t>流动性风险：</w:t>
      </w:r>
      <w:r>
        <w:rPr>
          <w:rFonts w:hint="eastAsia" w:ascii="楷体" w:hAnsi="楷体" w:eastAsia="楷体" w:cs="Times New Roman"/>
          <w:sz w:val="24"/>
          <w:szCs w:val="24"/>
        </w:rPr>
        <w:t>在特定市场环境下，理财产品所投资的部分市场或资产可能出现流动性较差的情况，导致理财产品无法通过变现资产等途径以合理成本及时获得充足资金，无法满足投资者赎回需求、履行其他支付义务，带来流动性风险。在本理财产品存续期内，投资者只能在</w:t>
      </w:r>
      <w:r>
        <w:rPr>
          <w:rFonts w:hint="eastAsia" w:ascii="楷体" w:hAnsi="楷体" w:eastAsia="楷体" w:cs="Times New Roman"/>
          <w:sz w:val="24"/>
          <w:szCs w:val="24"/>
          <w:lang w:val="en-US" w:eastAsia="zh-CN"/>
        </w:rPr>
        <w:t>理</w:t>
      </w:r>
      <w:r>
        <w:rPr>
          <w:rFonts w:hint="eastAsia" w:ascii="楷体" w:hAnsi="楷体" w:eastAsia="楷体"/>
          <w:sz w:val="24"/>
          <w:szCs w:val="24"/>
          <w:lang w:val="en-US" w:eastAsia="zh-CN"/>
        </w:rPr>
        <w:t>财</w:t>
      </w:r>
      <w:r>
        <w:rPr>
          <w:rFonts w:hint="eastAsia" w:ascii="楷体" w:hAnsi="楷体" w:eastAsia="楷体"/>
          <w:sz w:val="24"/>
          <w:szCs w:val="24"/>
        </w:rPr>
        <w:t>产品说明书规定的时间和条件内办理申购与赎回，这可能影响投资者的资金安排，带来流动性风险。</w:t>
      </w:r>
    </w:p>
    <w:p>
      <w:pPr>
        <w:numPr>
          <w:ilvl w:val="0"/>
          <w:numId w:val="3"/>
        </w:numPr>
        <w:tabs>
          <w:tab w:val="left" w:pos="993"/>
        </w:tabs>
        <w:ind w:left="0" w:firstLine="482" w:firstLineChars="200"/>
        <w:rPr>
          <w:rFonts w:hint="eastAsia" w:ascii="楷体" w:hAnsi="楷体" w:eastAsia="楷体"/>
          <w:sz w:val="24"/>
          <w:szCs w:val="24"/>
        </w:rPr>
      </w:pPr>
      <w:r>
        <w:rPr>
          <w:rFonts w:hint="eastAsia" w:ascii="楷体" w:hAnsi="楷体" w:eastAsia="楷体"/>
          <w:b/>
          <w:sz w:val="24"/>
          <w:szCs w:val="24"/>
        </w:rPr>
        <w:t>管理风险：</w:t>
      </w:r>
      <w:r>
        <w:rPr>
          <w:rFonts w:hint="eastAsia" w:ascii="楷体" w:hAnsi="楷体" w:eastAsia="楷体"/>
          <w:sz w:val="24"/>
          <w:szCs w:val="24"/>
        </w:rPr>
        <w:t>在本理财产品运作过程中，投资管理各方受经验、技能、执行力等综合因素的限制，可能会对本理财产品的运作和管理造成一定影响，则投资者可能面临本金和收益遭受部分甚至全部损失的风险。</w:t>
      </w:r>
    </w:p>
    <w:p>
      <w:pPr>
        <w:numPr>
          <w:ilvl w:val="0"/>
          <w:numId w:val="3"/>
        </w:numPr>
        <w:tabs>
          <w:tab w:val="left" w:pos="993"/>
        </w:tabs>
        <w:ind w:left="0" w:firstLine="482" w:firstLineChars="200"/>
        <w:rPr>
          <w:rFonts w:hint="eastAsia" w:ascii="楷体" w:hAnsi="楷体" w:eastAsia="楷体"/>
          <w:sz w:val="24"/>
          <w:szCs w:val="24"/>
        </w:rPr>
      </w:pPr>
      <w:r>
        <w:rPr>
          <w:rFonts w:hint="eastAsia" w:ascii="楷体" w:hAnsi="楷体" w:eastAsia="楷体"/>
          <w:b/>
          <w:sz w:val="24"/>
          <w:szCs w:val="24"/>
        </w:rPr>
        <w:t>操作风险：</w:t>
      </w:r>
      <w:r>
        <w:rPr>
          <w:rFonts w:hint="eastAsia" w:ascii="楷体" w:hAnsi="楷体" w:eastAsia="楷体"/>
          <w:sz w:val="24"/>
          <w:szCs w:val="24"/>
        </w:rPr>
        <w:t>如本理财产品管理人由于内部作业、人员管理、系统操作及事务处理不当或失误等，则投资者可能面临本金和收益遭受部分甚至全部损失的风险。</w:t>
      </w:r>
    </w:p>
    <w:p>
      <w:pPr>
        <w:numPr>
          <w:ilvl w:val="0"/>
          <w:numId w:val="3"/>
        </w:numPr>
        <w:tabs>
          <w:tab w:val="left" w:pos="993"/>
        </w:tabs>
        <w:ind w:left="0" w:firstLine="482" w:firstLineChars="200"/>
        <w:rPr>
          <w:rFonts w:hint="eastAsia" w:ascii="楷体" w:hAnsi="楷体" w:eastAsia="楷体"/>
          <w:sz w:val="24"/>
          <w:szCs w:val="24"/>
        </w:rPr>
      </w:pPr>
      <w:r>
        <w:rPr>
          <w:rFonts w:hint="eastAsia" w:ascii="楷体" w:hAnsi="楷体" w:eastAsia="楷体"/>
          <w:b/>
          <w:sz w:val="24"/>
          <w:szCs w:val="24"/>
        </w:rPr>
        <w:t>产品不成立风险：</w:t>
      </w:r>
      <w:r>
        <w:rPr>
          <w:rFonts w:hint="eastAsia" w:ascii="楷体" w:hAnsi="楷体" w:eastAsia="楷体"/>
          <w:sz w:val="24"/>
          <w:szCs w:val="24"/>
        </w:rPr>
        <w:t>如果因募集规模低于说明书约定的最低规模或其他因素导致本理财产品不能成立的情形，苏银理财有权宣布该理财产品不成立，投资者将面临再投资风险。</w:t>
      </w:r>
    </w:p>
    <w:p>
      <w:pPr>
        <w:numPr>
          <w:ilvl w:val="0"/>
          <w:numId w:val="3"/>
        </w:numPr>
        <w:tabs>
          <w:tab w:val="left" w:pos="993"/>
        </w:tabs>
        <w:ind w:left="0" w:firstLine="482" w:firstLineChars="200"/>
        <w:rPr>
          <w:rFonts w:hint="eastAsia" w:ascii="楷体" w:hAnsi="楷体" w:eastAsia="楷体"/>
          <w:sz w:val="24"/>
          <w:szCs w:val="24"/>
        </w:rPr>
      </w:pPr>
      <w:r>
        <w:rPr>
          <w:rFonts w:hint="eastAsia" w:ascii="楷体" w:hAnsi="楷体" w:eastAsia="楷体"/>
          <w:b/>
          <w:sz w:val="24"/>
          <w:szCs w:val="24"/>
        </w:rPr>
        <w:t>延期兑付风险：</w:t>
      </w:r>
      <w:r>
        <w:rPr>
          <w:rFonts w:hint="eastAsia" w:ascii="楷体" w:hAnsi="楷体" w:eastAsia="楷体"/>
          <w:sz w:val="24"/>
          <w:szCs w:val="24"/>
        </w:rPr>
        <w:t>因市场成交量不足、资产限制赎回、暂停交易、缺乏意愿交易对手等原因，产品管理人未能及时完成资产变现而导致理财产品不能及时变现、持有期与资金需求日不匹配或不能按时支付清算分配金额，则投资者可能面临产品兑付延期、调整等风险，甚至由此投资者可能面临本金和收益遭受部分甚至全部损失的风险。</w:t>
      </w:r>
    </w:p>
    <w:p>
      <w:pPr>
        <w:numPr>
          <w:ilvl w:val="0"/>
          <w:numId w:val="3"/>
        </w:numPr>
        <w:tabs>
          <w:tab w:val="left" w:pos="993"/>
        </w:tabs>
        <w:ind w:left="0" w:firstLine="482" w:firstLineChars="200"/>
        <w:rPr>
          <w:rFonts w:hint="eastAsia" w:ascii="楷体" w:hAnsi="楷体" w:eastAsia="楷体"/>
          <w:sz w:val="24"/>
          <w:szCs w:val="24"/>
        </w:rPr>
      </w:pPr>
      <w:r>
        <w:rPr>
          <w:rFonts w:hint="eastAsia" w:ascii="楷体" w:hAnsi="楷体" w:eastAsia="楷体"/>
          <w:b/>
          <w:sz w:val="24"/>
          <w:szCs w:val="24"/>
        </w:rPr>
        <w:t>提前终止风险：</w:t>
      </w:r>
      <w:r>
        <w:rPr>
          <w:rFonts w:hint="eastAsia" w:ascii="楷体" w:hAnsi="楷体" w:eastAsia="楷体"/>
          <w:sz w:val="24"/>
          <w:szCs w:val="24"/>
        </w:rPr>
        <w:t>为保护投资者利益，在本理财产品存续期间，产品管理人可根据本理财产品说明书约定的情况提前终止本理财产品。同时，由于不可抗力及/或意外事件导致产品管理人无法继续履行理财产品合同的，产品管理人有权提前终止理财产品合同，并将发生不可抗力及/或意外事件后剩余的投资者应得理财资金划付至投资者清算账户。此外，如国家宏观政策、市场相关法律、行政法规或政策等发生变化，可能导致理财产品提前终止。上述情况下，投资者可能面临产品提前终止后再投资的风险。</w:t>
      </w:r>
    </w:p>
    <w:p>
      <w:pPr>
        <w:numPr>
          <w:ilvl w:val="0"/>
          <w:numId w:val="3"/>
        </w:numPr>
        <w:tabs>
          <w:tab w:val="left" w:pos="993"/>
        </w:tabs>
        <w:ind w:left="0" w:firstLine="482" w:firstLineChars="200"/>
        <w:rPr>
          <w:rFonts w:hint="eastAsia" w:ascii="楷体" w:hAnsi="楷体" w:eastAsia="楷体"/>
          <w:sz w:val="24"/>
          <w:szCs w:val="24"/>
        </w:rPr>
      </w:pPr>
      <w:r>
        <w:rPr>
          <w:rFonts w:hint="eastAsia" w:ascii="楷体" w:hAnsi="楷体" w:eastAsia="楷体"/>
          <w:b/>
          <w:sz w:val="24"/>
          <w:szCs w:val="24"/>
        </w:rPr>
        <w:t>信息传递风险：</w:t>
      </w:r>
      <w:r>
        <w:rPr>
          <w:rFonts w:hint="eastAsia" w:ascii="楷体" w:hAnsi="楷体" w:eastAsia="楷体"/>
          <w:sz w:val="24"/>
          <w:szCs w:val="24"/>
        </w:rPr>
        <w:t>产品管理人将按照本理财产品合同中规定的信息披露方式及披露途径向投资者公示本理财产品的各类信息和重大事件，投资者应及时查询了解。如投资者未及时查询相关信息或由于不可抗力及/或意外事件的影响使得投资者无法及时了解理财产品信息，进而影响投资者的投资决策，因此产生的责任和风险由投资者自行承担。投资者预留的有效联系方式发生变更的，亦应及时通知产品管理人。如投资者未及时告知产品管理人联系方式变更或产品管理人在其认为需要时无法及时联系到投资者的，可能会影响投资者的投资决策，因此产生的责任和风险由投资者自行承担。</w:t>
      </w:r>
    </w:p>
    <w:p>
      <w:pPr>
        <w:numPr>
          <w:ilvl w:val="0"/>
          <w:numId w:val="3"/>
        </w:numPr>
        <w:tabs>
          <w:tab w:val="left" w:pos="993"/>
        </w:tabs>
        <w:ind w:left="0" w:firstLine="482" w:firstLineChars="200"/>
        <w:rPr>
          <w:rFonts w:hint="eastAsia" w:ascii="楷体" w:hAnsi="楷体" w:eastAsia="楷体"/>
          <w:sz w:val="24"/>
          <w:szCs w:val="24"/>
        </w:rPr>
      </w:pPr>
      <w:r>
        <w:rPr>
          <w:rFonts w:hint="eastAsia" w:ascii="楷体" w:hAnsi="楷体" w:eastAsia="楷体"/>
          <w:b/>
          <w:sz w:val="24"/>
          <w:szCs w:val="24"/>
        </w:rPr>
        <w:t>税务风险：</w:t>
      </w:r>
      <w:r>
        <w:rPr>
          <w:rFonts w:hint="eastAsia" w:ascii="楷体" w:hAnsi="楷体" w:eastAsia="楷体"/>
          <w:sz w:val="24"/>
          <w:szCs w:val="24"/>
        </w:rPr>
        <w:t>理财产品在资产管理、运营、处置过程中产生的收入，根据国家相关法律法规应缴纳增值税（含增值税附加税费，下同）及/或其他税费的，即使产品管理人被税务机关认定为纳税义务人，该等增值税及/或其他税费仍属于应由理财产品承担的理财产品税费，由产品管理人申报和缴纳。该等税款将直接从理财产品中扣付缴纳，理财产品将因为前述增值税等税负承担导致计划税费支出增加、理财产品净值或实际收益降低，从而降低产品投资人的收益水平。</w:t>
      </w:r>
    </w:p>
    <w:p>
      <w:pPr>
        <w:numPr>
          <w:ilvl w:val="0"/>
          <w:numId w:val="3"/>
        </w:numPr>
        <w:tabs>
          <w:tab w:val="left" w:pos="993"/>
        </w:tabs>
        <w:ind w:left="0" w:firstLine="482" w:firstLineChars="200"/>
        <w:rPr>
          <w:rFonts w:hint="eastAsia" w:ascii="楷体" w:hAnsi="楷体" w:eastAsia="楷体"/>
          <w:sz w:val="24"/>
          <w:szCs w:val="24"/>
        </w:rPr>
      </w:pPr>
      <w:r>
        <w:rPr>
          <w:rFonts w:hint="eastAsia" w:ascii="楷体" w:hAnsi="楷体" w:eastAsia="楷体"/>
          <w:b/>
          <w:sz w:val="24"/>
          <w:szCs w:val="24"/>
          <w:highlight w:val="none"/>
        </w:rPr>
        <w:t>代销风险</w:t>
      </w:r>
      <w:r>
        <w:rPr>
          <w:rFonts w:hint="eastAsia" w:ascii="楷体" w:hAnsi="楷体" w:eastAsia="楷体"/>
          <w:b/>
          <w:sz w:val="24"/>
          <w:szCs w:val="24"/>
          <w:highlight w:val="none"/>
          <w:lang w:eastAsia="zh-CN"/>
        </w:rPr>
        <w:t>（</w:t>
      </w:r>
      <w:r>
        <w:rPr>
          <w:rFonts w:hint="eastAsia" w:ascii="楷体" w:hAnsi="楷体" w:eastAsia="楷体"/>
          <w:b/>
          <w:sz w:val="24"/>
          <w:szCs w:val="24"/>
          <w:highlight w:val="none"/>
          <w:lang w:val="en-US" w:eastAsia="zh-CN"/>
        </w:rPr>
        <w:t>如有）</w:t>
      </w:r>
      <w:r>
        <w:rPr>
          <w:rFonts w:hint="eastAsia" w:ascii="楷体" w:hAnsi="楷体" w:eastAsia="楷体"/>
          <w:b/>
          <w:sz w:val="24"/>
          <w:szCs w:val="24"/>
          <w:highlight w:val="none"/>
        </w:rPr>
        <w:t>：</w:t>
      </w:r>
      <w:r>
        <w:rPr>
          <w:rFonts w:hint="eastAsia" w:ascii="楷体" w:hAnsi="楷体" w:eastAsia="楷体"/>
          <w:b w:val="0"/>
          <w:bCs/>
          <w:sz w:val="24"/>
          <w:szCs w:val="24"/>
          <w:highlight w:val="none"/>
          <w:lang w:val="en-US" w:eastAsia="zh-CN"/>
        </w:rPr>
        <w:t>如</w:t>
      </w:r>
      <w:r>
        <w:rPr>
          <w:rFonts w:hint="eastAsia" w:ascii="楷体" w:hAnsi="楷体" w:eastAsia="楷体"/>
          <w:sz w:val="24"/>
          <w:szCs w:val="24"/>
          <w:highlight w:val="none"/>
        </w:rPr>
        <w:t>本产品通过代销渠道（非产品管理人自有渠道）销售</w:t>
      </w:r>
      <w:r>
        <w:rPr>
          <w:rFonts w:hint="eastAsia" w:ascii="楷体" w:hAnsi="楷体" w:eastAsia="楷体"/>
          <w:sz w:val="24"/>
          <w:szCs w:val="24"/>
        </w:rPr>
        <w:t>，投资者认（申）购理财产品的资金由代销机构从投资者资金账户扣收；份额赎回时，赎回资金按本理财产品合同约定划付至代销机构清算账户后，由代销机构向投资者划付投资者应得赎回资金，并由代销机构向投资者支付应得理财利益。不同代销机构的销售渠道，其认（申）购/赎回确认时效可能存在差异。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与代销机构协商解决，前述约定不免除因代销机构过错而依法应由代销机构承担的责任。</w:t>
      </w:r>
    </w:p>
    <w:p>
      <w:pPr>
        <w:numPr>
          <w:ilvl w:val="0"/>
          <w:numId w:val="3"/>
        </w:numPr>
        <w:tabs>
          <w:tab w:val="left" w:pos="993"/>
        </w:tabs>
        <w:ind w:left="0" w:firstLine="482" w:firstLineChars="200"/>
        <w:rPr>
          <w:rFonts w:hint="eastAsia" w:ascii="楷体" w:hAnsi="楷体" w:eastAsia="楷体"/>
          <w:sz w:val="24"/>
          <w:szCs w:val="24"/>
        </w:rPr>
      </w:pPr>
      <w:r>
        <w:rPr>
          <w:rFonts w:hint="eastAsia" w:ascii="楷体" w:hAnsi="楷体" w:eastAsia="楷体"/>
          <w:b/>
          <w:sz w:val="24"/>
          <w:szCs w:val="24"/>
        </w:rPr>
        <w:t>理财产品的份额类别差异风险：</w:t>
      </w:r>
      <w:r>
        <w:rPr>
          <w:rFonts w:hint="eastAsia" w:ascii="楷体" w:hAnsi="楷体" w:eastAsia="楷体"/>
          <w:bCs/>
          <w:sz w:val="24"/>
          <w:szCs w:val="24"/>
        </w:rPr>
        <w:t>产品管理人可根据投资者购买理财产品的金额、销售渠道等因素，对投资者所持有的理财产品设置不同的份额类别。同一款理财产品内不同类别的份额，其销售名称、销售代码、销售对象、销售起点金额（认购、申购起点金额）、业绩比较基准、产品费用（包括托管费、销售服务费、投资管理费和超额业绩报酬等费用）、投资者认（申）购和赎回数量的限制、投资者持有本产品的最高/最低限额、计算和公告产品份额净值等方面均可能存在差异，请投资者在购买前仔细阅读产品合同进行甄别。</w:t>
      </w:r>
    </w:p>
    <w:p>
      <w:pPr>
        <w:numPr>
          <w:ilvl w:val="0"/>
          <w:numId w:val="3"/>
        </w:numPr>
        <w:tabs>
          <w:tab w:val="left" w:pos="993"/>
        </w:tabs>
        <w:ind w:left="0" w:firstLine="482" w:firstLineChars="200"/>
        <w:rPr>
          <w:rFonts w:hint="eastAsia" w:ascii="楷体" w:hAnsi="楷体" w:eastAsia="楷体"/>
          <w:sz w:val="24"/>
          <w:szCs w:val="24"/>
        </w:rPr>
      </w:pPr>
      <w:r>
        <w:rPr>
          <w:rFonts w:hint="eastAsia" w:ascii="楷体" w:hAnsi="楷体" w:eastAsia="楷体"/>
          <w:b/>
          <w:sz w:val="24"/>
          <w:szCs w:val="24"/>
        </w:rPr>
        <w:t>不可抗力风险：</w:t>
      </w:r>
      <w:r>
        <w:rPr>
          <w:rFonts w:hint="eastAsia" w:ascii="楷体" w:hAnsi="楷体" w:eastAsia="楷体"/>
          <w:sz w:val="24"/>
          <w:szCs w:val="24"/>
        </w:rPr>
        <w:t>自然灾害、疫情、严重传染病、金融市场危机、战争等不能预见、不能避免、不能克服的不可抗力因素，及/或系统故障、通讯故障、投资市场停止交易等意外事件非产品管理人所能控制的原因发生，可能对本理财产品的受理、成立、投资运作、资金返还、信息披露、公告通知等造成影响，甚至可能导致投资者的本金和收益可能遭受部分或全部的损失。对于由不可抗力及/或意外事件风险导致的任何损失，投资者须自行承担。</w:t>
      </w:r>
    </w:p>
    <w:p>
      <w:pPr>
        <w:numPr>
          <w:ilvl w:val="0"/>
          <w:numId w:val="3"/>
        </w:numPr>
        <w:tabs>
          <w:tab w:val="left" w:pos="993"/>
        </w:tabs>
        <w:ind w:left="0" w:firstLine="482" w:firstLineChars="200"/>
        <w:rPr>
          <w:rFonts w:hint="eastAsia" w:ascii="楷体" w:hAnsi="楷体" w:eastAsia="楷体"/>
          <w:b/>
          <w:sz w:val="24"/>
          <w:szCs w:val="24"/>
        </w:rPr>
      </w:pPr>
      <w:r>
        <w:rPr>
          <w:rFonts w:hint="eastAsia" w:ascii="楷体" w:hAnsi="楷体" w:eastAsia="楷体"/>
          <w:b/>
          <w:sz w:val="24"/>
          <w:szCs w:val="24"/>
        </w:rPr>
        <w:t>特定投资标的风险：</w:t>
      </w:r>
    </w:p>
    <w:p>
      <w:pPr>
        <w:numPr>
          <w:ilvl w:val="0"/>
          <w:numId w:val="4"/>
        </w:numPr>
        <w:tabs>
          <w:tab w:val="left" w:pos="742"/>
        </w:tabs>
        <w:ind w:left="0" w:firstLine="480" w:firstLineChars="200"/>
        <w:rPr>
          <w:rFonts w:hint="eastAsia" w:ascii="楷体" w:hAnsi="楷体" w:eastAsia="楷体"/>
          <w:sz w:val="24"/>
          <w:szCs w:val="24"/>
        </w:rPr>
      </w:pPr>
      <w:r>
        <w:rPr>
          <w:rFonts w:hint="eastAsia" w:ascii="楷体" w:hAnsi="楷体" w:eastAsia="楷体"/>
          <w:sz w:val="24"/>
          <w:szCs w:val="24"/>
        </w:rPr>
        <w:t>债券投资的特殊风险</w:t>
      </w:r>
    </w:p>
    <w:p>
      <w:pPr>
        <w:numPr>
          <w:ilvl w:val="0"/>
          <w:numId w:val="5"/>
        </w:numPr>
        <w:tabs>
          <w:tab w:val="left" w:pos="1092"/>
        </w:tabs>
        <w:ind w:left="0" w:firstLine="480" w:firstLineChars="200"/>
        <w:rPr>
          <w:rFonts w:hint="eastAsia" w:ascii="楷体" w:hAnsi="楷体" w:eastAsia="楷体"/>
          <w:sz w:val="24"/>
          <w:szCs w:val="24"/>
        </w:rPr>
      </w:pPr>
      <w:r>
        <w:rPr>
          <w:rFonts w:hint="eastAsia" w:ascii="楷体" w:hAnsi="楷体" w:eastAsia="楷体"/>
          <w:sz w:val="24"/>
          <w:szCs w:val="24"/>
        </w:rPr>
        <w:t>市场平均利率水平变化导致债券价格变化的风险。</w:t>
      </w:r>
    </w:p>
    <w:p>
      <w:pPr>
        <w:numPr>
          <w:ilvl w:val="0"/>
          <w:numId w:val="5"/>
        </w:numPr>
        <w:tabs>
          <w:tab w:val="left" w:pos="1092"/>
        </w:tabs>
        <w:ind w:left="0" w:firstLine="480" w:firstLineChars="200"/>
        <w:rPr>
          <w:rFonts w:hint="eastAsia" w:ascii="楷体" w:hAnsi="楷体" w:eastAsia="楷体"/>
          <w:sz w:val="24"/>
          <w:szCs w:val="24"/>
        </w:rPr>
      </w:pPr>
      <w:r>
        <w:rPr>
          <w:rFonts w:hint="eastAsia" w:ascii="楷体" w:hAnsi="楷体" w:eastAsia="楷体"/>
          <w:sz w:val="24"/>
          <w:szCs w:val="24"/>
        </w:rPr>
        <w:t>债券市场不同期限、不同类别债券之间的利差变动导致相应期限和类别债券价格变化的风险。</w:t>
      </w:r>
    </w:p>
    <w:p>
      <w:pPr>
        <w:numPr>
          <w:ilvl w:val="0"/>
          <w:numId w:val="5"/>
        </w:numPr>
        <w:tabs>
          <w:tab w:val="left" w:pos="1092"/>
        </w:tabs>
        <w:ind w:left="0" w:firstLine="480" w:firstLineChars="200"/>
        <w:rPr>
          <w:rFonts w:hint="eastAsia" w:ascii="楷体" w:hAnsi="楷体" w:eastAsia="楷体"/>
          <w:sz w:val="24"/>
          <w:szCs w:val="24"/>
        </w:rPr>
      </w:pPr>
      <w:r>
        <w:rPr>
          <w:rFonts w:hint="eastAsia" w:ascii="楷体" w:hAnsi="楷体" w:eastAsia="楷体"/>
          <w:sz w:val="24"/>
          <w:szCs w:val="24"/>
        </w:rPr>
        <w:t>债券的发行人的经营状况受到多种因素影响，如管理能力、财务状况、市场前景、行业竞争能力、技术更新、研究开发、人员素质等，都会导致发行人盈利发生变化，可能导致债券市场价格下跌或无法按时偿付本息，从而影响理财产品收益水平。</w:t>
      </w:r>
    </w:p>
    <w:p>
      <w:pPr>
        <w:numPr>
          <w:ilvl w:val="0"/>
          <w:numId w:val="5"/>
        </w:numPr>
        <w:tabs>
          <w:tab w:val="left" w:pos="1092"/>
        </w:tabs>
        <w:ind w:left="0" w:firstLine="480" w:firstLineChars="200"/>
        <w:rPr>
          <w:rFonts w:hint="eastAsia" w:ascii="楷体" w:hAnsi="楷体" w:eastAsia="楷体"/>
          <w:sz w:val="24"/>
          <w:szCs w:val="24"/>
        </w:rPr>
      </w:pPr>
      <w:r>
        <w:rPr>
          <w:rFonts w:hint="eastAsia" w:ascii="楷体" w:hAnsi="楷体" w:eastAsia="楷体"/>
          <w:sz w:val="24"/>
          <w:szCs w:val="24"/>
        </w:rPr>
        <w:t>债券发行人、担保人出现违约拒绝支付到期本息，或由于债券发行人、担保人信用质量降低导致债券价格下降及无法收回投资收益的风险。</w:t>
      </w:r>
    </w:p>
    <w:p>
      <w:pPr>
        <w:numPr>
          <w:ilvl w:val="0"/>
          <w:numId w:val="5"/>
        </w:numPr>
        <w:tabs>
          <w:tab w:val="left" w:pos="1092"/>
        </w:tabs>
        <w:ind w:left="0" w:firstLine="480" w:firstLineChars="200"/>
        <w:rPr>
          <w:rFonts w:hint="eastAsia" w:ascii="楷体" w:hAnsi="楷体" w:eastAsia="楷体"/>
          <w:sz w:val="24"/>
          <w:szCs w:val="24"/>
        </w:rPr>
      </w:pPr>
      <w:r>
        <w:rPr>
          <w:rFonts w:hint="eastAsia" w:ascii="楷体" w:hAnsi="楷体" w:eastAsia="楷体"/>
          <w:sz w:val="24"/>
          <w:szCs w:val="24"/>
        </w:rPr>
        <w:t>与信用等级较高的债券相比，投资于信用等级较低的债券将因为发行主体的偿还债务能力略低、受不利经济环境的影响更大以及违约风险更高等原因而面临更大的投资风险。</w:t>
      </w:r>
    </w:p>
    <w:p>
      <w:pPr>
        <w:numPr>
          <w:ilvl w:val="0"/>
          <w:numId w:val="5"/>
        </w:numPr>
        <w:tabs>
          <w:tab w:val="left" w:pos="1092"/>
        </w:tabs>
        <w:ind w:left="0" w:firstLine="480" w:firstLineChars="200"/>
        <w:rPr>
          <w:rFonts w:hint="eastAsia" w:ascii="楷体" w:hAnsi="楷体" w:eastAsia="楷体"/>
          <w:sz w:val="24"/>
          <w:szCs w:val="24"/>
        </w:rPr>
      </w:pPr>
      <w:r>
        <w:rPr>
          <w:rFonts w:hint="eastAsia" w:ascii="楷体" w:hAnsi="楷体" w:eastAsia="楷体"/>
          <w:sz w:val="24"/>
          <w:szCs w:val="24"/>
        </w:rPr>
        <w:t>相对于其他公开发行的债券，非公开定向债务融资工具、非公开发行公司债的流动性较差，其流通和转让均存在一定的限制，因此投资于非公开定向债务融资工具将面临较大的投资风险。</w:t>
      </w:r>
    </w:p>
    <w:p>
      <w:pPr>
        <w:numPr>
          <w:ilvl w:val="0"/>
          <w:numId w:val="4"/>
        </w:numPr>
        <w:tabs>
          <w:tab w:val="left" w:pos="742"/>
        </w:tabs>
        <w:ind w:left="0" w:firstLine="480" w:firstLineChars="200"/>
        <w:rPr>
          <w:rFonts w:hint="eastAsia" w:ascii="楷体" w:hAnsi="楷体" w:eastAsia="楷体"/>
          <w:sz w:val="24"/>
          <w:szCs w:val="24"/>
        </w:rPr>
      </w:pPr>
      <w:r>
        <w:rPr>
          <w:rFonts w:hint="eastAsia" w:ascii="楷体" w:hAnsi="楷体" w:eastAsia="楷体"/>
          <w:sz w:val="24"/>
          <w:szCs w:val="24"/>
        </w:rPr>
        <w:t>股票投资的特殊风险：</w:t>
      </w:r>
    </w:p>
    <w:p>
      <w:pPr>
        <w:numPr>
          <w:ilvl w:val="0"/>
          <w:numId w:val="6"/>
        </w:numPr>
        <w:tabs>
          <w:tab w:val="left" w:pos="1092"/>
        </w:tabs>
        <w:ind w:left="0" w:firstLine="480" w:firstLineChars="200"/>
        <w:rPr>
          <w:rFonts w:hint="eastAsia" w:ascii="楷体" w:hAnsi="楷体" w:eastAsia="楷体"/>
          <w:sz w:val="24"/>
          <w:szCs w:val="24"/>
        </w:rPr>
      </w:pPr>
      <w:r>
        <w:rPr>
          <w:rFonts w:hint="eastAsia" w:ascii="楷体" w:hAnsi="楷体" w:eastAsia="楷体"/>
          <w:sz w:val="24"/>
          <w:szCs w:val="24"/>
        </w:rPr>
        <w:t>国家货币政策、财政政策、产业政策等的变化对证券市场产生一定的影响，导致市场价格水平波动的风险。</w:t>
      </w:r>
    </w:p>
    <w:p>
      <w:pPr>
        <w:numPr>
          <w:ilvl w:val="0"/>
          <w:numId w:val="6"/>
        </w:numPr>
        <w:tabs>
          <w:tab w:val="left" w:pos="1092"/>
        </w:tabs>
        <w:ind w:left="0" w:firstLine="480" w:firstLineChars="200"/>
        <w:rPr>
          <w:rFonts w:hint="eastAsia" w:ascii="楷体" w:hAnsi="楷体" w:eastAsia="楷体"/>
          <w:sz w:val="24"/>
          <w:szCs w:val="24"/>
        </w:rPr>
      </w:pPr>
      <w:r>
        <w:rPr>
          <w:rFonts w:hint="eastAsia" w:ascii="楷体" w:hAnsi="楷体" w:eastAsia="楷体"/>
          <w:sz w:val="24"/>
          <w:szCs w:val="24"/>
        </w:rPr>
        <w:t>宏观经济运行周期性波动，对股票市场的收益水平产生影响的风险。</w:t>
      </w:r>
    </w:p>
    <w:p>
      <w:pPr>
        <w:numPr>
          <w:ilvl w:val="0"/>
          <w:numId w:val="6"/>
        </w:numPr>
        <w:tabs>
          <w:tab w:val="left" w:pos="1092"/>
        </w:tabs>
        <w:ind w:left="0" w:firstLine="480" w:firstLineChars="200"/>
        <w:rPr>
          <w:rFonts w:ascii="楷体" w:hAnsi="楷体" w:eastAsia="楷体"/>
          <w:sz w:val="24"/>
          <w:szCs w:val="24"/>
        </w:rPr>
      </w:pPr>
      <w:r>
        <w:rPr>
          <w:rFonts w:hint="eastAsia" w:ascii="楷体" w:hAnsi="楷体" w:eastAsia="楷体"/>
          <w:sz w:val="24"/>
          <w:szCs w:val="24"/>
        </w:rPr>
        <w:t>上市公司的经营状况受多种因素影响，如市场、技术、竞争、管理、财务等都会导致公司盈利发生变化，从而导致股票价格变动的风险。</w:t>
      </w:r>
    </w:p>
    <w:p>
      <w:pPr>
        <w:numPr>
          <w:ilvl w:val="0"/>
          <w:numId w:val="4"/>
        </w:numPr>
        <w:tabs>
          <w:tab w:val="left" w:pos="742"/>
        </w:tabs>
        <w:ind w:left="0" w:firstLine="480" w:firstLineChars="200"/>
        <w:rPr>
          <w:rFonts w:hint="eastAsia" w:ascii="楷体" w:hAnsi="楷体" w:eastAsia="楷体"/>
          <w:sz w:val="24"/>
          <w:szCs w:val="24"/>
        </w:rPr>
      </w:pPr>
      <w:r>
        <w:rPr>
          <w:rFonts w:hint="eastAsia" w:ascii="楷体" w:hAnsi="楷体" w:eastAsia="楷体"/>
          <w:sz w:val="24"/>
          <w:szCs w:val="24"/>
        </w:rPr>
        <w:t>相关资产管理计划或基金份额的特殊风险：</w:t>
      </w:r>
    </w:p>
    <w:p>
      <w:pPr>
        <w:numPr>
          <w:ilvl w:val="0"/>
          <w:numId w:val="7"/>
        </w:numPr>
        <w:tabs>
          <w:tab w:val="left" w:pos="1092"/>
        </w:tabs>
        <w:ind w:left="0" w:firstLine="480" w:firstLineChars="200"/>
        <w:rPr>
          <w:rFonts w:hint="eastAsia" w:ascii="楷体" w:hAnsi="楷体" w:eastAsia="楷体"/>
          <w:sz w:val="24"/>
          <w:szCs w:val="24"/>
        </w:rPr>
      </w:pPr>
      <w:r>
        <w:rPr>
          <w:rFonts w:hint="eastAsia" w:ascii="楷体" w:hAnsi="楷体" w:eastAsia="楷体"/>
          <w:sz w:val="24"/>
          <w:szCs w:val="24"/>
        </w:rPr>
        <w:t>如本理财产品投资于资产管理计划或基金产品，可能因相关资产管理计划或基金的管理人违法违规、未尽资产管理计划或基金的管理人职责或发生其他情形，造成本理财产品所投资的资管计划产品或基金产品的财产损失，进而引起本理财产品的损失。</w:t>
      </w:r>
    </w:p>
    <w:p>
      <w:pPr>
        <w:numPr>
          <w:ilvl w:val="0"/>
          <w:numId w:val="7"/>
        </w:numPr>
        <w:tabs>
          <w:tab w:val="left" w:pos="1092"/>
        </w:tabs>
        <w:ind w:left="0" w:firstLine="480" w:firstLineChars="200"/>
        <w:rPr>
          <w:rFonts w:hint="eastAsia" w:ascii="楷体" w:hAnsi="楷体" w:eastAsia="楷体"/>
          <w:sz w:val="24"/>
          <w:szCs w:val="24"/>
        </w:rPr>
      </w:pPr>
      <w:r>
        <w:rPr>
          <w:rFonts w:hint="eastAsia" w:ascii="楷体" w:hAnsi="楷体" w:eastAsia="楷体"/>
          <w:sz w:val="24"/>
          <w:szCs w:val="24"/>
        </w:rPr>
        <w:t>资产管理计划或基金产品可能出现因为某种原因而被提前终止的情况，由此可能会造成对本理财产品投资收益的影响。</w:t>
      </w:r>
    </w:p>
    <w:p>
      <w:pPr>
        <w:numPr>
          <w:ilvl w:val="0"/>
          <w:numId w:val="7"/>
        </w:numPr>
        <w:tabs>
          <w:tab w:val="left" w:pos="1092"/>
        </w:tabs>
        <w:ind w:left="0" w:firstLine="480" w:firstLineChars="200"/>
        <w:rPr>
          <w:rFonts w:hint="eastAsia" w:ascii="楷体" w:hAnsi="楷体" w:eastAsia="楷体"/>
          <w:sz w:val="24"/>
          <w:szCs w:val="24"/>
        </w:rPr>
      </w:pPr>
      <w:r>
        <w:rPr>
          <w:rFonts w:hint="eastAsia" w:ascii="楷体" w:hAnsi="楷体" w:eastAsia="楷体"/>
          <w:sz w:val="24"/>
          <w:szCs w:val="24"/>
        </w:rPr>
        <w:t>因本理财产品的管理人无法对所投资的资产管理计划或基金产品进行投资决策，或相关资产管理计划或基金产品的管理人可能不执行或不能及时、准确地执行本理财产品管理人的指令，或未经本理财产品同意将本理财产品交付的资金运用于违反相关合同约定的投资范围，导致本理财产品项下委托财产的损失等风险。</w:t>
      </w:r>
    </w:p>
    <w:p>
      <w:pPr>
        <w:numPr>
          <w:ilvl w:val="0"/>
          <w:numId w:val="4"/>
        </w:numPr>
        <w:tabs>
          <w:tab w:val="left" w:pos="742"/>
        </w:tabs>
        <w:ind w:left="0" w:firstLine="480" w:firstLineChars="200"/>
        <w:rPr>
          <w:rFonts w:hint="eastAsia" w:ascii="楷体" w:hAnsi="楷体" w:eastAsia="楷体"/>
          <w:sz w:val="24"/>
          <w:szCs w:val="24"/>
        </w:rPr>
      </w:pPr>
      <w:r>
        <w:rPr>
          <w:rFonts w:hint="eastAsia" w:ascii="楷体" w:hAnsi="楷体" w:eastAsia="楷体"/>
          <w:sz w:val="24"/>
          <w:szCs w:val="24"/>
        </w:rPr>
        <w:t>黄金、黄金主题股票、黄金ETF基金等黄金类资产的特殊风险：</w:t>
      </w:r>
    </w:p>
    <w:p>
      <w:pPr>
        <w:numPr>
          <w:ilvl w:val="0"/>
          <w:numId w:val="0"/>
        </w:numPr>
        <w:tabs>
          <w:tab w:val="left" w:pos="1092"/>
        </w:tabs>
        <w:ind w:firstLine="480" w:firstLineChars="200"/>
        <w:rPr>
          <w:rFonts w:hint="eastAsia" w:ascii="楷体" w:hAnsi="楷体" w:eastAsia="楷体"/>
          <w:sz w:val="24"/>
          <w:szCs w:val="24"/>
        </w:rPr>
      </w:pPr>
      <w:r>
        <w:rPr>
          <w:rFonts w:hint="eastAsia" w:ascii="楷体" w:hAnsi="楷体" w:eastAsia="楷体"/>
          <w:sz w:val="24"/>
          <w:szCs w:val="24"/>
        </w:rPr>
        <w:t>影响黄金类资产的价格的主要因素包括但不限于：</w:t>
      </w:r>
    </w:p>
    <w:p>
      <w:pPr>
        <w:numPr>
          <w:ilvl w:val="0"/>
          <w:numId w:val="8"/>
        </w:numPr>
        <w:tabs>
          <w:tab w:val="left" w:pos="1092"/>
        </w:tabs>
        <w:ind w:left="0" w:firstLine="480" w:firstLineChars="200"/>
        <w:rPr>
          <w:rFonts w:hint="eastAsia" w:ascii="楷体" w:hAnsi="楷体" w:eastAsia="楷体"/>
          <w:sz w:val="24"/>
          <w:szCs w:val="24"/>
        </w:rPr>
      </w:pPr>
      <w:r>
        <w:rPr>
          <w:rFonts w:hint="eastAsia" w:ascii="楷体" w:hAnsi="楷体" w:eastAsia="楷体"/>
          <w:sz w:val="24"/>
          <w:szCs w:val="24"/>
        </w:rPr>
        <w:t>黄金的供给与需求；</w:t>
      </w:r>
    </w:p>
    <w:p>
      <w:pPr>
        <w:numPr>
          <w:ilvl w:val="0"/>
          <w:numId w:val="8"/>
        </w:numPr>
        <w:tabs>
          <w:tab w:val="left" w:pos="1092"/>
        </w:tabs>
        <w:ind w:left="0" w:firstLine="480" w:firstLineChars="200"/>
        <w:rPr>
          <w:rFonts w:hint="eastAsia" w:ascii="楷体" w:hAnsi="楷体" w:eastAsia="楷体"/>
          <w:sz w:val="24"/>
          <w:szCs w:val="24"/>
        </w:rPr>
      </w:pPr>
      <w:r>
        <w:rPr>
          <w:rFonts w:hint="eastAsia" w:ascii="楷体" w:hAnsi="楷体" w:eastAsia="楷体"/>
          <w:sz w:val="24"/>
          <w:szCs w:val="24"/>
        </w:rPr>
        <w:t>投资者的黄金交易行为；</w:t>
      </w:r>
    </w:p>
    <w:p>
      <w:pPr>
        <w:numPr>
          <w:ilvl w:val="0"/>
          <w:numId w:val="8"/>
        </w:numPr>
        <w:tabs>
          <w:tab w:val="left" w:pos="1092"/>
        </w:tabs>
        <w:ind w:left="0" w:firstLine="480" w:firstLineChars="200"/>
        <w:rPr>
          <w:rFonts w:hint="eastAsia" w:ascii="楷体" w:hAnsi="楷体" w:eastAsia="楷体"/>
          <w:sz w:val="24"/>
          <w:szCs w:val="24"/>
        </w:rPr>
      </w:pPr>
      <w:r>
        <w:rPr>
          <w:rFonts w:hint="eastAsia" w:ascii="楷体" w:hAnsi="楷体" w:eastAsia="楷体"/>
          <w:sz w:val="24"/>
          <w:szCs w:val="24"/>
        </w:rPr>
        <w:t>外汇汇率；</w:t>
      </w:r>
    </w:p>
    <w:p>
      <w:pPr>
        <w:numPr>
          <w:ilvl w:val="0"/>
          <w:numId w:val="8"/>
        </w:numPr>
        <w:tabs>
          <w:tab w:val="left" w:pos="1092"/>
        </w:tabs>
        <w:ind w:left="0" w:firstLine="480" w:firstLineChars="200"/>
        <w:rPr>
          <w:rFonts w:hint="eastAsia" w:ascii="楷体" w:hAnsi="楷体" w:eastAsia="楷体"/>
          <w:sz w:val="24"/>
          <w:szCs w:val="24"/>
        </w:rPr>
      </w:pPr>
      <w:r>
        <w:rPr>
          <w:rFonts w:hint="eastAsia" w:ascii="楷体" w:hAnsi="楷体" w:eastAsia="楷体"/>
          <w:sz w:val="24"/>
          <w:szCs w:val="24"/>
        </w:rPr>
        <w:t>全球和地区性政治经济环境的变化等。</w:t>
      </w:r>
    </w:p>
    <w:p>
      <w:pPr>
        <w:numPr>
          <w:ilvl w:val="0"/>
          <w:numId w:val="9"/>
        </w:numPr>
        <w:tabs>
          <w:tab w:val="left" w:pos="742"/>
        </w:tabs>
        <w:ind w:left="0" w:firstLine="480" w:firstLineChars="200"/>
        <w:rPr>
          <w:rFonts w:hint="eastAsia" w:ascii="楷体" w:hAnsi="楷体" w:eastAsia="楷体"/>
          <w:sz w:val="24"/>
          <w:szCs w:val="24"/>
          <w:lang w:val="en-US" w:eastAsia="zh-CN"/>
        </w:rPr>
      </w:pPr>
      <w:r>
        <w:rPr>
          <w:rFonts w:hint="eastAsia" w:ascii="楷体" w:hAnsi="楷体" w:eastAsia="楷体"/>
          <w:sz w:val="24"/>
          <w:szCs w:val="24"/>
          <w:lang w:val="en-US" w:eastAsia="zh-CN"/>
        </w:rPr>
        <w:t>结构性存款的特殊风险：</w:t>
      </w:r>
    </w:p>
    <w:p>
      <w:pPr>
        <w:numPr>
          <w:ilvl w:val="0"/>
          <w:numId w:val="10"/>
        </w:numPr>
        <w:tabs>
          <w:tab w:val="left" w:pos="1092"/>
        </w:tabs>
        <w:ind w:left="0" w:firstLine="480" w:firstLineChars="200"/>
        <w:rPr>
          <w:rFonts w:hint="default" w:ascii="楷体" w:hAnsi="楷体" w:eastAsia="楷体"/>
          <w:sz w:val="24"/>
          <w:szCs w:val="24"/>
          <w:lang w:val="en-US" w:eastAsia="zh-CN"/>
        </w:rPr>
      </w:pPr>
      <w:r>
        <w:rPr>
          <w:rFonts w:hint="default" w:ascii="楷体" w:hAnsi="楷体" w:eastAsia="楷体"/>
          <w:sz w:val="24"/>
          <w:szCs w:val="24"/>
          <w:lang w:val="en-US" w:eastAsia="zh-CN"/>
        </w:rPr>
        <w:t>市场风险。结构性存款挂钩的境内外债券、股票、利率、汇率、指数等标的受相关国家或地区的金融市场和经济趋势的影响，收益存在不确定性。</w:t>
      </w:r>
    </w:p>
    <w:p>
      <w:pPr>
        <w:numPr>
          <w:ilvl w:val="0"/>
          <w:numId w:val="10"/>
        </w:numPr>
        <w:tabs>
          <w:tab w:val="left" w:pos="1092"/>
        </w:tabs>
        <w:ind w:left="0" w:firstLine="480" w:firstLineChars="200"/>
        <w:rPr>
          <w:rFonts w:hint="default" w:ascii="楷体" w:hAnsi="楷体" w:eastAsia="楷体"/>
          <w:sz w:val="24"/>
          <w:szCs w:val="24"/>
          <w:lang w:val="en-US" w:eastAsia="zh-CN"/>
        </w:rPr>
      </w:pPr>
      <w:r>
        <w:rPr>
          <w:rFonts w:hint="default" w:ascii="楷体" w:hAnsi="楷体" w:eastAsia="楷体"/>
          <w:sz w:val="24"/>
          <w:szCs w:val="24"/>
          <w:lang w:val="en-US" w:eastAsia="zh-CN"/>
        </w:rPr>
        <w:t>信用风险。结构性存款可能面临交易对手银行无力偿付或未履行该结构性存款相关义务（含支付义务）的风险，同时结构性存款挂钩的标的如果出现信用违约，结构性存款的本金与收益也会受到影响，在最不利的情况下可能损失全部本金。</w:t>
      </w:r>
    </w:p>
    <w:p>
      <w:pPr>
        <w:numPr>
          <w:ilvl w:val="0"/>
          <w:numId w:val="10"/>
        </w:numPr>
        <w:tabs>
          <w:tab w:val="left" w:pos="1092"/>
        </w:tabs>
        <w:ind w:left="0" w:firstLine="480" w:firstLineChars="200"/>
        <w:rPr>
          <w:rFonts w:hint="default" w:ascii="楷体" w:hAnsi="楷体" w:eastAsia="楷体"/>
          <w:sz w:val="24"/>
          <w:szCs w:val="24"/>
          <w:lang w:val="en-US" w:eastAsia="zh-CN"/>
        </w:rPr>
      </w:pPr>
      <w:r>
        <w:rPr>
          <w:rFonts w:hint="default" w:ascii="楷体" w:hAnsi="楷体" w:eastAsia="楷体"/>
          <w:sz w:val="24"/>
          <w:szCs w:val="24"/>
          <w:lang w:val="en-US" w:eastAsia="zh-CN"/>
        </w:rPr>
        <w:t>利率风险。结构性存款如挂钩特定债券或债券指数，可能因相关利率变动而导致产品收益发生变化。</w:t>
      </w:r>
    </w:p>
    <w:p>
      <w:pPr>
        <w:numPr>
          <w:ilvl w:val="0"/>
          <w:numId w:val="10"/>
        </w:numPr>
        <w:tabs>
          <w:tab w:val="left" w:pos="1092"/>
        </w:tabs>
        <w:ind w:left="0" w:firstLine="480" w:firstLineChars="200"/>
        <w:rPr>
          <w:rFonts w:hint="default" w:ascii="楷体" w:hAnsi="楷体" w:eastAsia="楷体"/>
          <w:sz w:val="24"/>
          <w:szCs w:val="24"/>
          <w:lang w:val="en-US" w:eastAsia="zh-CN"/>
        </w:rPr>
      </w:pPr>
      <w:r>
        <w:rPr>
          <w:rFonts w:hint="default" w:ascii="楷体" w:hAnsi="楷体" w:eastAsia="楷体"/>
          <w:sz w:val="24"/>
          <w:szCs w:val="24"/>
          <w:lang w:val="en-US" w:eastAsia="zh-CN"/>
        </w:rPr>
        <w:t>汇率风险。结构性存款如挂钩境外证券资产，可能面临以非人民币计价的各类资产受汇率波动影响而引起人民币估值下的理财产品资产净值波动的风险。</w:t>
      </w:r>
    </w:p>
    <w:p>
      <w:pPr>
        <w:numPr>
          <w:ilvl w:val="0"/>
          <w:numId w:val="8"/>
        </w:numPr>
        <w:tabs>
          <w:tab w:val="left" w:pos="1092"/>
        </w:tabs>
        <w:ind w:left="0" w:firstLine="480" w:firstLineChars="200"/>
        <w:rPr>
          <w:rFonts w:hint="default" w:ascii="楷体" w:hAnsi="楷体" w:eastAsia="楷体"/>
          <w:sz w:val="24"/>
          <w:szCs w:val="24"/>
          <w:lang w:val="en-US" w:eastAsia="zh-CN"/>
        </w:rPr>
      </w:pPr>
      <w:r>
        <w:rPr>
          <w:rFonts w:hint="default" w:ascii="楷体" w:hAnsi="楷体" w:eastAsia="楷体"/>
          <w:sz w:val="24"/>
          <w:szCs w:val="24"/>
          <w:lang w:val="en-US" w:eastAsia="zh-CN"/>
        </w:rPr>
        <w:t>衍生品投资风险。结构性存款所嵌入的金融衍生工具，可能存在杠杆风险、操作风险、交易对手的信用风险、衍生品价格与其基础品种的相关度变化带来的风险等。以上风险事项若发生，可能影响投资者收益，甚至使产品本金遭受损失。</w:t>
      </w:r>
    </w:p>
    <w:p>
      <w:pPr>
        <w:pStyle w:val="13"/>
        <w:spacing w:before="0" w:beforeAutospacing="0" w:after="0" w:afterAutospacing="0"/>
        <w:ind w:firstLine="482" w:firstLineChars="200"/>
        <w:rPr>
          <w:rFonts w:hint="eastAsia" w:ascii="楷体" w:hAnsi="楷体" w:eastAsia="楷体"/>
          <w:b/>
          <w:u w:val="single"/>
        </w:rPr>
      </w:pPr>
      <w:r>
        <w:rPr>
          <w:rFonts w:hint="eastAsia" w:ascii="楷体" w:hAnsi="楷体" w:eastAsia="楷体"/>
          <w:b/>
          <w:u w:val="single"/>
        </w:rPr>
        <w:t>上述风险揭示事项仅为列举性质，未能详尽列明投资者参与本理财产品所面临的全部风险和可能导致投资者资产损失的所有因素。在您签署本理财产品的理财产品（代理）销售协议书前，应当仔细阅读风险揭示书、理财产品说明书、投资者权益须知、理财产品投资协议书及理财产品（代理）销售协议书的全部内容，同时向销售机构了解本理财产品的其他相关信息，并自己独立作出是否认购本理财产品的决定。</w:t>
      </w:r>
    </w:p>
    <w:p>
      <w:pPr>
        <w:pStyle w:val="13"/>
        <w:spacing w:before="0" w:beforeAutospacing="0" w:after="0" w:afterAutospacing="0"/>
        <w:ind w:firstLine="482" w:firstLineChars="200"/>
        <w:rPr>
          <w:rFonts w:hint="eastAsia" w:ascii="楷体" w:hAnsi="楷体" w:eastAsia="楷体"/>
          <w:b/>
          <w:u w:val="single"/>
        </w:rPr>
      </w:pPr>
      <w:r>
        <w:rPr>
          <w:rFonts w:hint="eastAsia" w:ascii="楷体" w:hAnsi="楷体" w:eastAsia="楷体"/>
          <w:b/>
          <w:u w:val="single"/>
        </w:rPr>
        <w:t>如影响您的风险承受能力的因素发生变化，请及时完成风险承受能力评估。</w:t>
      </w:r>
    </w:p>
    <w:p>
      <w:pPr>
        <w:numPr>
          <w:ilvl w:val="0"/>
          <w:numId w:val="2"/>
        </w:numPr>
        <w:tabs>
          <w:tab w:val="left" w:pos="1134"/>
        </w:tabs>
        <w:ind w:left="0" w:firstLine="560" w:firstLineChars="200"/>
        <w:rPr>
          <w:rFonts w:ascii="楷体" w:hAnsi="楷体" w:eastAsia="楷体"/>
          <w:sz w:val="28"/>
          <w:szCs w:val="28"/>
        </w:rPr>
      </w:pPr>
      <w:r>
        <w:rPr>
          <w:rFonts w:hint="eastAsia" w:ascii="楷体" w:hAnsi="楷体" w:eastAsia="楷体"/>
          <w:sz w:val="28"/>
          <w:szCs w:val="28"/>
        </w:rPr>
        <w:t>投资者提示</w:t>
      </w:r>
    </w:p>
    <w:p>
      <w:pPr>
        <w:numPr>
          <w:ilvl w:val="0"/>
          <w:numId w:val="11"/>
        </w:numPr>
        <w:tabs>
          <w:tab w:val="left" w:pos="742"/>
        </w:tabs>
        <w:ind w:left="0" w:firstLine="482" w:firstLineChars="200"/>
        <w:rPr>
          <w:rFonts w:ascii="楷体" w:hAnsi="楷体" w:eastAsia="楷体"/>
          <w:b/>
          <w:sz w:val="24"/>
          <w:szCs w:val="24"/>
          <w:u w:val="single"/>
        </w:rPr>
      </w:pPr>
      <w:r>
        <w:rPr>
          <w:rFonts w:hint="eastAsia" w:ascii="楷体" w:hAnsi="楷体" w:eastAsia="楷体"/>
          <w:b/>
          <w:sz w:val="24"/>
          <w:szCs w:val="24"/>
          <w:u w:val="single"/>
        </w:rPr>
        <w:t>本理财产品不保证本金及收益，您的本金可能因市场变动或者交易违约等事项而蒙受相应损失</w:t>
      </w:r>
      <w:r>
        <w:rPr>
          <w:rFonts w:hint="eastAsia" w:ascii="楷体" w:hAnsi="楷体" w:eastAsia="楷体"/>
          <w:b/>
          <w:sz w:val="24"/>
          <w:szCs w:val="24"/>
          <w:u w:val="single"/>
          <w:lang w:eastAsia="zh-CN"/>
        </w:rPr>
        <w:t>，</w:t>
      </w:r>
      <w:r>
        <w:rPr>
          <w:rFonts w:hint="eastAsia" w:ascii="楷体" w:hAnsi="楷体" w:eastAsia="楷体"/>
          <w:b/>
          <w:sz w:val="24"/>
          <w:szCs w:val="24"/>
          <w:u w:val="single"/>
        </w:rPr>
        <w:t>在最不利的情况下甚至可能损失全部本金。投资者应充分认识投资风险，谨慎投资。</w:t>
      </w:r>
    </w:p>
    <w:p>
      <w:pPr>
        <w:numPr>
          <w:ilvl w:val="0"/>
          <w:numId w:val="11"/>
        </w:numPr>
        <w:tabs>
          <w:tab w:val="left" w:pos="742"/>
        </w:tabs>
        <w:ind w:left="0" w:firstLine="482" w:firstLineChars="200"/>
        <w:rPr>
          <w:rFonts w:ascii="楷体" w:hAnsi="楷体" w:eastAsia="楷体"/>
          <w:b/>
          <w:sz w:val="24"/>
          <w:szCs w:val="24"/>
          <w:u w:val="single"/>
        </w:rPr>
      </w:pPr>
      <w:r>
        <w:rPr>
          <w:rFonts w:hint="eastAsia" w:ascii="楷体" w:hAnsi="楷体" w:eastAsia="楷体"/>
          <w:b/>
          <w:sz w:val="24"/>
          <w:szCs w:val="24"/>
          <w:u w:val="single"/>
        </w:rPr>
        <w:t>本理财产品过往业绩不代表其未来表现，不等于理财产品实际收益，投资须谨慎。理财非存款、产品有风险、投资须谨慎。</w:t>
      </w:r>
    </w:p>
    <w:p>
      <w:pPr>
        <w:numPr>
          <w:ilvl w:val="0"/>
          <w:numId w:val="11"/>
        </w:numPr>
        <w:tabs>
          <w:tab w:val="left" w:pos="742"/>
        </w:tabs>
        <w:ind w:left="0" w:firstLine="482" w:firstLineChars="200"/>
        <w:rPr>
          <w:rFonts w:ascii="楷体" w:hAnsi="楷体" w:eastAsia="楷体"/>
          <w:b/>
          <w:sz w:val="24"/>
          <w:szCs w:val="24"/>
          <w:u w:val="single"/>
        </w:rPr>
      </w:pPr>
      <w:r>
        <w:rPr>
          <w:rFonts w:hint="eastAsia" w:ascii="楷体" w:hAnsi="楷体" w:eastAsia="楷体"/>
          <w:b/>
          <w:sz w:val="24"/>
          <w:szCs w:val="24"/>
          <w:u w:val="single"/>
        </w:rPr>
        <w:t>管理人系江苏银行股份有限公司（下称"江苏银行"）全资子公司，江苏银行为管理人关联方。如本理财产品销售机构为江苏银行，则产品投资运作中可能出现关联交易行为，存在可能导致影响投资者收益的风险。管理人将建立健全关联交易管理制度，对关联交易认定标准、交易定价方法、交易审批程序进行规范，并严格遵守法律、行政法规和金融监督管理部门的规定对关联方进行识别，按规定及时进行审批、备案并充分披露，不会以本理财产品的资产与关联方进行不正当交易、利益输送等违反相关监管规定的行为，降低关联交易风险。投资者认可此等关联方及关联交易情形的存在并自愿承担相关投资风险。</w:t>
      </w:r>
    </w:p>
    <w:p>
      <w:pPr>
        <w:numPr>
          <w:ilvl w:val="0"/>
          <w:numId w:val="11"/>
        </w:numPr>
        <w:tabs>
          <w:tab w:val="left" w:pos="742"/>
        </w:tabs>
        <w:ind w:left="0" w:firstLine="480" w:firstLineChars="200"/>
        <w:rPr>
          <w:rFonts w:ascii="楷体" w:hAnsi="楷体" w:eastAsia="楷体"/>
          <w:sz w:val="24"/>
          <w:szCs w:val="24"/>
        </w:rPr>
      </w:pPr>
      <w:r>
        <w:rPr>
          <w:rFonts w:hint="eastAsia" w:ascii="楷体" w:hAnsi="楷体" w:eastAsia="楷体"/>
          <w:sz w:val="24"/>
          <w:szCs w:val="24"/>
        </w:rPr>
        <w:t>本理财产品类型为</w:t>
      </w:r>
      <w:r>
        <w:rPr>
          <w:rFonts w:hint="eastAsia" w:ascii="楷体" w:hAnsi="楷体" w:eastAsia="楷体" w:cs="Calibri"/>
          <w:b/>
          <w:sz w:val="24"/>
          <w:szCs w:val="24"/>
          <w:u w:val="single"/>
        </w:rPr>
        <w:t>固定收益类、公募、开放式</w:t>
      </w:r>
      <w:r>
        <w:rPr>
          <w:rFonts w:hint="eastAsia" w:ascii="楷体" w:hAnsi="楷体" w:eastAsia="楷体"/>
          <w:sz w:val="24"/>
          <w:szCs w:val="24"/>
        </w:rPr>
        <w:t>，产品管理人对本理财产品的内部风险评级为</w:t>
      </w:r>
      <w:r>
        <w:rPr>
          <w:rFonts w:hint="eastAsia" w:ascii="楷体" w:hAnsi="楷体" w:eastAsia="楷体"/>
          <w:b/>
          <w:sz w:val="24"/>
          <w:szCs w:val="24"/>
          <w:u w:val="single"/>
        </w:rPr>
        <w:t>★★二级，适合</w:t>
      </w:r>
      <w:r>
        <w:rPr>
          <w:rFonts w:hint="eastAsia" w:ascii="楷体" w:hAnsi="楷体" w:eastAsia="楷体" w:cs="Calibri"/>
          <w:b/>
          <w:sz w:val="24"/>
          <w:szCs w:val="24"/>
          <w:u w:val="single"/>
        </w:rPr>
        <w:t>中低风险型</w:t>
      </w:r>
      <w:r>
        <w:rPr>
          <w:rFonts w:hint="eastAsia" w:ascii="楷体" w:hAnsi="楷体" w:eastAsia="楷体"/>
          <w:b/>
          <w:sz w:val="24"/>
          <w:szCs w:val="24"/>
          <w:u w:val="single"/>
        </w:rPr>
        <w:t>投资者</w:t>
      </w:r>
      <w:r>
        <w:rPr>
          <w:rFonts w:hint="eastAsia" w:ascii="楷体" w:hAnsi="楷体" w:eastAsia="楷体"/>
          <w:sz w:val="24"/>
          <w:szCs w:val="24"/>
        </w:rPr>
        <w:t>。</w:t>
      </w:r>
      <w:r>
        <w:rPr>
          <w:rFonts w:hint="eastAsia" w:ascii="楷体" w:hAnsi="楷体" w:eastAsia="楷体"/>
          <w:b/>
          <w:bCs/>
          <w:sz w:val="24"/>
          <w:szCs w:val="24"/>
          <w:u w:val="single"/>
        </w:rPr>
        <w:t>如本产品通过代理销售机构渠道销售，理财产品评级以代理销售机构最终披露的评级结果为准。</w:t>
      </w:r>
    </w:p>
    <w:p>
      <w:pPr>
        <w:numPr>
          <w:ilvl w:val="0"/>
          <w:numId w:val="11"/>
        </w:numPr>
        <w:tabs>
          <w:tab w:val="left" w:pos="742"/>
        </w:tabs>
        <w:ind w:left="0" w:firstLine="480" w:firstLineChars="200"/>
        <w:rPr>
          <w:rFonts w:ascii="楷体" w:hAnsi="楷体" w:eastAsia="楷体"/>
          <w:sz w:val="24"/>
          <w:szCs w:val="24"/>
        </w:rPr>
      </w:pPr>
      <w:r>
        <w:rPr>
          <w:rFonts w:hint="eastAsia" w:ascii="楷体" w:hAnsi="楷体" w:eastAsia="楷体"/>
          <w:sz w:val="24"/>
          <w:szCs w:val="24"/>
        </w:rPr>
        <w:t>本产品销售工作及投资者适当性评估由销售机构负责。销售机构应确保个人投资者的风险承受能力等级不低于本产品风险评级。若个人投资者风险承受能力评估已超过一年，或影响风险承受能力的因素发生变化，请及时完成风险承受能力的重新评估，并对评估结果签字确认。机构投资者无需进行风险承受能力评估。</w:t>
      </w:r>
    </w:p>
    <w:p>
      <w:pPr>
        <w:numPr>
          <w:ilvl w:val="0"/>
          <w:numId w:val="11"/>
        </w:numPr>
        <w:tabs>
          <w:tab w:val="left" w:pos="742"/>
        </w:tabs>
        <w:ind w:left="0" w:firstLine="480" w:firstLineChars="200"/>
        <w:rPr>
          <w:rFonts w:ascii="楷体" w:hAnsi="楷体" w:eastAsia="楷体"/>
          <w:b/>
          <w:sz w:val="24"/>
          <w:szCs w:val="24"/>
        </w:rPr>
      </w:pPr>
      <w:r>
        <w:rPr>
          <w:rFonts w:hint="eastAsia" w:ascii="楷体" w:hAnsi="楷体" w:eastAsia="楷体"/>
          <w:sz w:val="24"/>
          <w:szCs w:val="24"/>
        </w:rPr>
        <w:t>本理财产品的风险揭示书、理财产品说明书、投资者权益须知、理财产品投资协议书及理财产品（代理）销售协议书为本理财产品合同不可分割的组成部分。您签署本理财产品合同并将资金委托给苏银理财运作是您真实的意思表示。</w:t>
      </w:r>
      <w:r>
        <w:rPr>
          <w:rFonts w:hint="eastAsia" w:ascii="楷体" w:hAnsi="楷体" w:eastAsia="楷体"/>
          <w:b/>
          <w:sz w:val="24"/>
          <w:szCs w:val="24"/>
        </w:rPr>
        <w:t>您还应了解您所购买理财产品的投资风险、类型特点和投资存在的最不利投资情形：在最不利情况下，投资者甚至可能损失全部本金。示例：如投资者购买本理财产品，本金为1万元，在理财产品资产组合项下资产全部亏损的最不利情况下，理财产品1万元本金将全部损失。</w:t>
      </w:r>
    </w:p>
    <w:p>
      <w:pPr>
        <w:numPr>
          <w:ilvl w:val="0"/>
          <w:numId w:val="11"/>
        </w:numPr>
        <w:tabs>
          <w:tab w:val="left" w:pos="742"/>
        </w:tabs>
        <w:ind w:left="0" w:firstLine="480" w:firstLineChars="200"/>
        <w:rPr>
          <w:rFonts w:hint="eastAsia" w:ascii="楷体" w:hAnsi="楷体" w:eastAsia="楷体"/>
          <w:sz w:val="24"/>
          <w:szCs w:val="24"/>
        </w:rPr>
      </w:pPr>
      <w:r>
        <w:rPr>
          <w:rFonts w:hint="eastAsia" w:ascii="楷体" w:hAnsi="楷体" w:eastAsia="楷体"/>
          <w:sz w:val="24"/>
          <w:szCs w:val="24"/>
        </w:rPr>
        <w:t>苏银理财及</w:t>
      </w:r>
      <w:r>
        <w:rPr>
          <w:rFonts w:hint="eastAsia" w:ascii="楷体" w:hAnsi="楷体" w:eastAsia="楷体"/>
          <w:sz w:val="24"/>
          <w:szCs w:val="24"/>
          <w:lang w:val="en-US" w:eastAsia="zh-CN"/>
        </w:rPr>
        <w:t>销售</w:t>
      </w:r>
      <w:r>
        <w:rPr>
          <w:rFonts w:hint="eastAsia" w:ascii="楷体" w:hAnsi="楷体" w:eastAsia="楷体"/>
          <w:sz w:val="24"/>
          <w:szCs w:val="24"/>
        </w:rPr>
        <w:t>机构将</w:t>
      </w:r>
      <w:r>
        <w:rPr>
          <w:rFonts w:hint="eastAsia" w:ascii="楷体" w:hAnsi="楷体" w:eastAsia="楷体"/>
          <w:sz w:val="24"/>
          <w:szCs w:val="24"/>
          <w:lang w:val="en-US" w:eastAsia="zh-CN"/>
        </w:rPr>
        <w:t>根据</w:t>
      </w:r>
      <w:r>
        <w:rPr>
          <w:rFonts w:hint="eastAsia" w:ascii="楷体" w:hAnsi="楷体" w:eastAsia="楷体"/>
          <w:sz w:val="24"/>
          <w:szCs w:val="24"/>
        </w:rPr>
        <w:t>相关法律、法规严格履行投资者信息保密责任，除监管机构或司法机关等有权机构外，不得对其他第三方提供任何投资者信息。</w:t>
      </w:r>
    </w:p>
    <w:p>
      <w:pPr>
        <w:autoSpaceDE w:val="0"/>
        <w:autoSpaceDN w:val="0"/>
        <w:adjustRightInd w:val="0"/>
        <w:ind w:firstLine="426" w:firstLineChars="177"/>
        <w:jc w:val="left"/>
        <w:rPr>
          <w:rFonts w:ascii="楷体" w:hAnsi="楷体" w:eastAsia="楷体" w:cs="宋体"/>
          <w:b/>
          <w:kern w:val="0"/>
          <w:sz w:val="24"/>
          <w:szCs w:val="24"/>
        </w:rPr>
      </w:pPr>
    </w:p>
    <w:p>
      <w:pPr>
        <w:pStyle w:val="13"/>
        <w:spacing w:before="0" w:beforeAutospacing="0" w:after="0" w:afterAutospacing="0" w:line="360" w:lineRule="auto"/>
        <w:ind w:left="420"/>
        <w:jc w:val="right"/>
        <w:rPr>
          <w:rFonts w:ascii="楷体" w:hAnsi="楷体" w:eastAsia="楷体"/>
          <w:b/>
        </w:rPr>
      </w:pPr>
      <w:r>
        <w:rPr>
          <w:rFonts w:hint="eastAsia" w:ascii="楷体" w:hAnsi="楷体" w:eastAsia="楷体"/>
          <w:b/>
        </w:rPr>
        <w:t>风险揭示方：苏银理财有限责任公司</w:t>
      </w:r>
    </w:p>
    <w:p>
      <w:pPr>
        <w:pStyle w:val="13"/>
        <w:spacing w:before="0" w:beforeAutospacing="0" w:after="0" w:afterAutospacing="0" w:line="360" w:lineRule="auto"/>
        <w:ind w:left="420"/>
        <w:jc w:val="right"/>
        <w:rPr>
          <w:rFonts w:hint="eastAsia" w:ascii="楷体" w:hAnsi="楷体" w:eastAsia="楷体"/>
          <w:b/>
        </w:rPr>
      </w:pPr>
      <w:r>
        <w:rPr>
          <w:rFonts w:ascii="楷体" w:hAnsi="楷体" w:eastAsia="楷体"/>
          <w:b/>
        </w:rPr>
        <w:br w:type="page"/>
      </w:r>
    </w:p>
    <w:p>
      <w:pPr>
        <w:pStyle w:val="13"/>
        <w:spacing w:before="0" w:beforeAutospacing="0" w:after="0" w:afterAutospacing="0" w:line="360" w:lineRule="auto"/>
        <w:jc w:val="center"/>
        <w:rPr>
          <w:rFonts w:ascii="楷体" w:hAnsi="楷体" w:eastAsia="楷体"/>
          <w:b/>
          <w:sz w:val="36"/>
          <w:szCs w:val="36"/>
        </w:rPr>
      </w:pPr>
      <w:r>
        <w:rPr>
          <w:rFonts w:hint="eastAsia" w:ascii="楷体" w:hAnsi="楷体" w:eastAsia="楷体"/>
          <w:b/>
          <w:sz w:val="36"/>
          <w:szCs w:val="36"/>
        </w:rPr>
        <w:t>投资者风险确认函</w:t>
      </w:r>
    </w:p>
    <w:p>
      <w:pPr>
        <w:numPr>
          <w:ilvl w:val="0"/>
          <w:numId w:val="12"/>
        </w:numPr>
        <w:tabs>
          <w:tab w:val="left" w:pos="1134"/>
        </w:tabs>
        <w:ind w:firstLine="562" w:firstLineChars="200"/>
        <w:rPr>
          <w:rFonts w:ascii="楷体" w:hAnsi="楷体" w:eastAsia="楷体"/>
          <w:b/>
          <w:bCs/>
          <w:sz w:val="28"/>
          <w:szCs w:val="28"/>
        </w:rPr>
      </w:pPr>
      <w:r>
        <w:rPr>
          <w:rFonts w:hint="eastAsia" w:ascii="楷体" w:hAnsi="楷体" w:eastAsia="楷体"/>
          <w:b/>
          <w:bCs/>
          <w:sz w:val="28"/>
          <w:szCs w:val="28"/>
        </w:rPr>
        <w:t>个人投资者确认</w:t>
      </w:r>
    </w:p>
    <w:p>
      <w:pPr>
        <w:ind w:firstLine="480" w:firstLineChars="200"/>
        <w:rPr>
          <w:rFonts w:ascii="楷体" w:hAnsi="楷体" w:eastAsia="楷体"/>
          <w:sz w:val="24"/>
          <w:szCs w:val="24"/>
        </w:rPr>
      </w:pPr>
      <w:r>
        <w:rPr>
          <w:rFonts w:hint="eastAsia" w:ascii="楷体" w:hAnsi="楷体" w:eastAsia="楷体"/>
          <w:sz w:val="24"/>
          <w:szCs w:val="24"/>
        </w:rPr>
        <w:t>本人确认已经收到本理财产品的风险揭示书，且已经认真阅读本理财产品完整合同（包括产品风险揭示书、理财产品说明书、投资者权益须知、理财产品投资协议书和理财产品（代理）销售协议书），充分了解并清楚知晓理财产品的风险，愿意承担相关风险，接受本理财产品合同全部约定。本人确认理解投资本理财产品将涉及的所有风险，并将承担且有能力承担该等风险。</w:t>
      </w:r>
      <w:r>
        <w:rPr>
          <w:rFonts w:hint="eastAsia" w:ascii="楷体" w:hAnsi="楷体" w:eastAsia="楷体"/>
          <w:b/>
          <w:bCs/>
          <w:sz w:val="24"/>
          <w:szCs w:val="24"/>
          <w:u w:val="single"/>
        </w:rPr>
        <w:t>本人承诺理财购买资金来源合法合规，本人将配合管理人及销售机构开展反洗钱、反恐怖融资及非居民金融账户涉税信息尽职调查等工作。</w:t>
      </w:r>
    </w:p>
    <w:p>
      <w:pPr>
        <w:ind w:firstLine="480" w:firstLineChars="200"/>
        <w:rPr>
          <w:rFonts w:hint="eastAsia" w:ascii="楷体" w:hAnsi="楷体" w:eastAsia="楷体"/>
          <w:sz w:val="24"/>
          <w:szCs w:val="24"/>
        </w:rPr>
      </w:pPr>
      <w:r>
        <w:rPr>
          <w:rFonts w:hint="eastAsia" w:ascii="楷体" w:hAnsi="楷体" w:eastAsia="楷体"/>
          <w:sz w:val="24"/>
          <w:szCs w:val="24"/>
        </w:rPr>
        <w:t>经销售机构评估，本人的风险承受能力评级结果为</w:t>
      </w:r>
      <w:r>
        <w:rPr>
          <w:rFonts w:ascii="楷体" w:hAnsi="楷体" w:eastAsia="楷体"/>
          <w:b/>
          <w:sz w:val="24"/>
          <w:szCs w:val="24"/>
        </w:rPr>
        <w:t>：</w:t>
      </w:r>
    </w:p>
    <w:p>
      <w:pPr>
        <w:rPr>
          <w:rFonts w:hint="eastAsia" w:ascii="楷体" w:hAnsi="楷体" w:eastAsia="楷体"/>
          <w:b/>
          <w:sz w:val="24"/>
          <w:szCs w:val="24"/>
        </w:rPr>
      </w:pPr>
    </w:p>
    <w:p>
      <w:pPr>
        <w:ind w:firstLine="480" w:firstLineChars="200"/>
        <w:rPr>
          <w:rFonts w:hint="eastAsia" w:ascii="楷体" w:hAnsi="楷体" w:eastAsia="楷体"/>
          <w:sz w:val="24"/>
          <w:szCs w:val="24"/>
          <w:u w:val="single"/>
        </w:rPr>
      </w:pPr>
      <w:r>
        <w:rPr>
          <w:rFonts w:hint="eastAsia" w:ascii="楷体" w:hAnsi="楷体" w:eastAsia="楷体"/>
          <w:sz w:val="24"/>
          <w:szCs w:val="24"/>
          <w:u w:val="single"/>
        </w:rPr>
        <w:t xml:space="preserve">                                        （</w:t>
      </w:r>
      <w:r>
        <w:rPr>
          <w:rFonts w:hint="eastAsia" w:ascii="楷体" w:hAnsi="楷体" w:eastAsia="楷体"/>
          <w:b/>
          <w:sz w:val="24"/>
          <w:szCs w:val="24"/>
          <w:u w:val="single"/>
        </w:rPr>
        <w:t>投资者本人填写</w:t>
      </w:r>
      <w:r>
        <w:rPr>
          <w:rFonts w:hint="eastAsia" w:ascii="楷体" w:hAnsi="楷体" w:eastAsia="楷体"/>
          <w:sz w:val="24"/>
          <w:szCs w:val="24"/>
          <w:u w:val="single"/>
        </w:rPr>
        <w:t>）</w:t>
      </w:r>
    </w:p>
    <w:p>
      <w:pPr>
        <w:ind w:firstLine="480" w:firstLineChars="200"/>
        <w:rPr>
          <w:rFonts w:ascii="楷体" w:hAnsi="楷体" w:eastAsia="楷体"/>
          <w:sz w:val="24"/>
          <w:szCs w:val="24"/>
        </w:rPr>
      </w:pPr>
      <w:r>
        <w:rPr>
          <w:rFonts w:hint="eastAsia" w:ascii="楷体" w:hAnsi="楷体" w:eastAsia="楷体"/>
          <w:sz w:val="24"/>
          <w:szCs w:val="24"/>
        </w:rPr>
        <w:t>风险承受能力不低于本理财产品的风险评级，适合购买本理财产品。如风险承受能力评估已超过一年，或影响风险承受能力的因素发生变化</w:t>
      </w:r>
      <w:r>
        <w:rPr>
          <w:rFonts w:hint="eastAsia" w:ascii="楷体" w:hAnsi="楷体" w:eastAsia="楷体"/>
          <w:sz w:val="24"/>
          <w:szCs w:val="24"/>
          <w:lang w:eastAsia="zh-CN"/>
        </w:rPr>
        <w:t>，</w:t>
      </w:r>
      <w:r>
        <w:rPr>
          <w:rFonts w:hint="eastAsia" w:ascii="楷体" w:hAnsi="楷体" w:eastAsia="楷体"/>
          <w:sz w:val="24"/>
          <w:szCs w:val="24"/>
        </w:rPr>
        <w:t>本人将及时完成风险承受能力的重新评估。</w:t>
      </w:r>
    </w:p>
    <w:p>
      <w:pPr>
        <w:ind w:firstLine="480" w:firstLineChars="200"/>
        <w:rPr>
          <w:rFonts w:hint="eastAsia" w:ascii="楷体" w:hAnsi="楷体" w:eastAsia="楷体"/>
          <w:b/>
          <w:sz w:val="24"/>
          <w:szCs w:val="24"/>
        </w:rPr>
      </w:pPr>
      <w:r>
        <w:rPr>
          <w:rFonts w:hint="eastAsia" w:ascii="楷体" w:hAnsi="楷体" w:eastAsia="楷体"/>
          <w:sz w:val="24"/>
          <w:szCs w:val="24"/>
        </w:rPr>
        <w:t>须</w:t>
      </w:r>
      <w:r>
        <w:rPr>
          <w:rFonts w:hint="eastAsia" w:ascii="楷体" w:hAnsi="楷体" w:eastAsia="楷体"/>
          <w:b/>
          <w:sz w:val="24"/>
          <w:szCs w:val="24"/>
          <w:u w:val="single"/>
        </w:rPr>
        <w:t>投资者亲笔抄录</w:t>
      </w:r>
      <w:r>
        <w:rPr>
          <w:rFonts w:hint="eastAsia" w:ascii="楷体" w:hAnsi="楷体" w:eastAsia="楷体"/>
          <w:sz w:val="24"/>
          <w:szCs w:val="24"/>
        </w:rPr>
        <w:t>以下内容：</w:t>
      </w:r>
      <w:r>
        <w:rPr>
          <w:rFonts w:hint="eastAsia" w:ascii="楷体" w:hAnsi="楷体" w:eastAsia="楷体"/>
          <w:b/>
          <w:sz w:val="24"/>
          <w:szCs w:val="24"/>
        </w:rPr>
        <w:t>“</w:t>
      </w:r>
      <w:r>
        <w:rPr>
          <w:rFonts w:hint="eastAsia" w:ascii="楷体" w:hAnsi="楷体" w:eastAsia="楷体"/>
          <w:b/>
          <w:sz w:val="24"/>
          <w:szCs w:val="24"/>
          <w:u w:val="single"/>
        </w:rPr>
        <w:t>本人已经阅读风险揭示，愿意承担投资风险</w:t>
      </w:r>
      <w:r>
        <w:rPr>
          <w:rFonts w:hint="eastAsia" w:ascii="楷体" w:hAnsi="楷体" w:eastAsia="楷体"/>
          <w:b/>
          <w:sz w:val="24"/>
          <w:szCs w:val="24"/>
        </w:rPr>
        <w:t>”</w:t>
      </w:r>
    </w:p>
    <w:p>
      <w:pPr>
        <w:rPr>
          <w:rFonts w:hint="eastAsia" w:ascii="楷体" w:hAnsi="楷体" w:eastAsia="楷体"/>
          <w:sz w:val="24"/>
          <w:szCs w:val="24"/>
          <w:u w:val="single"/>
        </w:rPr>
      </w:pPr>
    </w:p>
    <w:p>
      <w:pPr>
        <w:rPr>
          <w:rFonts w:hint="eastAsia" w:ascii="楷体" w:hAnsi="楷体" w:eastAsia="楷体"/>
          <w:sz w:val="24"/>
          <w:szCs w:val="24"/>
          <w:u w:val="single"/>
        </w:rPr>
      </w:pPr>
      <w:r>
        <w:rPr>
          <w:rFonts w:hint="eastAsia" w:ascii="楷体" w:hAnsi="楷体" w:eastAsia="楷体"/>
          <w:sz w:val="24"/>
          <w:szCs w:val="24"/>
          <w:u w:val="single"/>
        </w:rPr>
        <w:t xml:space="preserve">                                                                         </w:t>
      </w:r>
    </w:p>
    <w:p>
      <w:pPr>
        <w:rPr>
          <w:rFonts w:hint="eastAsia" w:ascii="楷体" w:hAnsi="楷体" w:eastAsia="楷体"/>
          <w:sz w:val="24"/>
          <w:szCs w:val="24"/>
        </w:rPr>
      </w:pPr>
      <w:r>
        <w:rPr>
          <w:rFonts w:hint="eastAsia" w:ascii="楷体" w:hAnsi="楷体" w:eastAsia="楷体"/>
          <w:sz w:val="24"/>
          <w:szCs w:val="24"/>
        </w:rPr>
        <w:t>个人投资者签字：</w:t>
      </w:r>
    </w:p>
    <w:p>
      <w:pPr>
        <w:ind w:firstLine="480" w:firstLineChars="200"/>
        <w:jc w:val="right"/>
        <w:rPr>
          <w:rFonts w:hint="eastAsia" w:ascii="楷体" w:hAnsi="楷体" w:eastAsia="楷体"/>
          <w:sz w:val="24"/>
          <w:szCs w:val="24"/>
        </w:rPr>
      </w:pPr>
      <w:r>
        <w:rPr>
          <w:rFonts w:hint="eastAsia" w:ascii="楷体" w:hAnsi="楷体" w:eastAsia="楷体"/>
          <w:sz w:val="24"/>
          <w:szCs w:val="24"/>
        </w:rPr>
        <w:t>年   月   日</w:t>
      </w:r>
    </w:p>
    <w:p>
      <w:pPr>
        <w:numPr>
          <w:ilvl w:val="0"/>
          <w:numId w:val="12"/>
        </w:numPr>
        <w:tabs>
          <w:tab w:val="left" w:pos="1134"/>
        </w:tabs>
        <w:ind w:firstLine="562" w:firstLineChars="200"/>
        <w:rPr>
          <w:rFonts w:hint="eastAsia" w:ascii="楷体" w:hAnsi="楷体" w:eastAsia="楷体"/>
          <w:b/>
          <w:bCs/>
          <w:sz w:val="28"/>
          <w:szCs w:val="28"/>
        </w:rPr>
      </w:pPr>
      <w:r>
        <w:rPr>
          <w:rFonts w:hint="eastAsia" w:ascii="楷体" w:hAnsi="楷体" w:eastAsia="楷体"/>
          <w:b/>
          <w:bCs/>
          <w:sz w:val="28"/>
          <w:szCs w:val="28"/>
        </w:rPr>
        <w:t>机构投资者确认</w:t>
      </w:r>
    </w:p>
    <w:p>
      <w:pPr>
        <w:ind w:firstLine="480" w:firstLineChars="200"/>
        <w:rPr>
          <w:rFonts w:ascii="楷体" w:hAnsi="楷体" w:eastAsia="楷体"/>
          <w:sz w:val="24"/>
          <w:szCs w:val="24"/>
        </w:rPr>
      </w:pPr>
      <w:r>
        <w:rPr>
          <w:rFonts w:hint="eastAsia" w:ascii="楷体" w:hAnsi="楷体" w:eastAsia="楷体"/>
          <w:sz w:val="24"/>
          <w:szCs w:val="24"/>
          <w:lang w:val="en-US" w:eastAsia="zh-CN"/>
        </w:rPr>
        <w:t>投资者</w:t>
      </w:r>
      <w:r>
        <w:rPr>
          <w:rFonts w:ascii="楷体" w:hAnsi="楷体" w:eastAsia="楷体"/>
          <w:sz w:val="24"/>
          <w:szCs w:val="24"/>
        </w:rPr>
        <w:t>声明：投资决策系由本</w:t>
      </w:r>
      <w:r>
        <w:rPr>
          <w:rFonts w:hint="eastAsia" w:ascii="楷体" w:hAnsi="楷体" w:eastAsia="楷体"/>
          <w:sz w:val="24"/>
          <w:szCs w:val="24"/>
        </w:rPr>
        <w:t>机构</w:t>
      </w:r>
      <w:r>
        <w:rPr>
          <w:rFonts w:ascii="楷体" w:hAnsi="楷体" w:eastAsia="楷体"/>
          <w:sz w:val="24"/>
          <w:szCs w:val="24"/>
        </w:rPr>
        <w:t>独立、自主、谨慎做出，本</w:t>
      </w:r>
      <w:r>
        <w:rPr>
          <w:rFonts w:hint="eastAsia" w:ascii="楷体" w:hAnsi="楷体" w:eastAsia="楷体"/>
          <w:sz w:val="24"/>
          <w:szCs w:val="24"/>
        </w:rPr>
        <w:t>机构已经收到本理财产品的风险揭示书，且已经认真阅读本理财产品完整合同（包括风险揭示书、理财产品说明书、投资者权益须知、理财产品投资协议书和理财产品（代理）销售协议书）</w:t>
      </w:r>
      <w:r>
        <w:rPr>
          <w:rFonts w:ascii="楷体" w:hAnsi="楷体" w:eastAsia="楷体"/>
          <w:sz w:val="24"/>
          <w:szCs w:val="24"/>
        </w:rPr>
        <w:t>，充分认识该理财产品的特征、风险和投资者相关权利义务条款，完全理解并自愿接受</w:t>
      </w:r>
      <w:r>
        <w:rPr>
          <w:rFonts w:hint="eastAsia" w:ascii="楷体" w:hAnsi="楷体" w:eastAsia="楷体"/>
          <w:sz w:val="24"/>
          <w:szCs w:val="24"/>
        </w:rPr>
        <w:t>。</w:t>
      </w:r>
      <w:r>
        <w:rPr>
          <w:rFonts w:hint="eastAsia" w:ascii="楷体" w:hAnsi="楷体" w:eastAsia="楷体"/>
          <w:b/>
          <w:bCs/>
          <w:sz w:val="24"/>
          <w:szCs w:val="24"/>
          <w:u w:val="single"/>
        </w:rPr>
        <w:t>本机构承诺理财购买资金来源合法合规，本机构将配合管理人及销售机构开展反洗钱、反恐怖融资及非居民金融账户涉税信息尽职调查等工作。</w:t>
      </w:r>
    </w:p>
    <w:p>
      <w:pPr>
        <w:rPr>
          <w:rFonts w:hint="eastAsia" w:ascii="楷体" w:hAnsi="楷体" w:eastAsia="楷体"/>
          <w:sz w:val="24"/>
          <w:szCs w:val="24"/>
        </w:rPr>
      </w:pPr>
    </w:p>
    <w:p>
      <w:pPr>
        <w:rPr>
          <w:rFonts w:hint="eastAsia" w:ascii="楷体" w:hAnsi="楷体" w:eastAsia="楷体"/>
          <w:sz w:val="24"/>
          <w:szCs w:val="24"/>
        </w:rPr>
      </w:pPr>
      <w:r>
        <w:rPr>
          <w:rFonts w:hint="eastAsia" w:ascii="楷体" w:hAnsi="楷体" w:eastAsia="楷体"/>
          <w:sz w:val="24"/>
          <w:szCs w:val="24"/>
        </w:rPr>
        <w:t>机构投资者（盖章）：</w:t>
      </w:r>
    </w:p>
    <w:p>
      <w:pPr>
        <w:rPr>
          <w:rFonts w:ascii="楷体" w:hAnsi="楷体" w:eastAsia="楷体"/>
          <w:sz w:val="24"/>
          <w:szCs w:val="24"/>
        </w:rPr>
      </w:pPr>
    </w:p>
    <w:p>
      <w:pPr>
        <w:rPr>
          <w:rFonts w:hint="eastAsia" w:ascii="楷体" w:hAnsi="楷体" w:eastAsia="楷体"/>
          <w:sz w:val="24"/>
          <w:szCs w:val="24"/>
        </w:rPr>
      </w:pPr>
      <w:r>
        <w:rPr>
          <w:rFonts w:hint="eastAsia" w:ascii="楷体" w:hAnsi="楷体" w:eastAsia="楷体"/>
          <w:sz w:val="24"/>
          <w:szCs w:val="24"/>
        </w:rPr>
        <w:t>机构投资者法定代表人或授权代表（签字或盖章）</w:t>
      </w:r>
    </w:p>
    <w:p>
      <w:pPr>
        <w:rPr>
          <w:rFonts w:hint="eastAsia" w:ascii="楷体" w:hAnsi="楷体" w:eastAsia="楷体"/>
        </w:rPr>
      </w:pPr>
    </w:p>
    <w:p>
      <w:pPr>
        <w:pStyle w:val="13"/>
        <w:spacing w:before="0" w:beforeAutospacing="0" w:after="0" w:afterAutospacing="0" w:line="360" w:lineRule="auto"/>
        <w:jc w:val="right"/>
        <w:rPr>
          <w:rFonts w:ascii="楷体" w:hAnsi="楷体" w:eastAsia="楷体"/>
        </w:rPr>
      </w:pPr>
      <w:r>
        <w:rPr>
          <w:rFonts w:hint="eastAsia" w:ascii="楷体" w:hAnsi="楷体" w:eastAsia="楷体"/>
        </w:rPr>
        <w:t xml:space="preserve">年 </w:t>
      </w:r>
      <w:r>
        <w:rPr>
          <w:rFonts w:ascii="楷体" w:hAnsi="楷体" w:eastAsia="楷体"/>
        </w:rPr>
        <w:t xml:space="preserve">  月</w:t>
      </w:r>
      <w:r>
        <w:rPr>
          <w:rFonts w:hint="eastAsia" w:ascii="楷体" w:hAnsi="楷体" w:eastAsia="楷体"/>
        </w:rPr>
        <w:t xml:space="preserve"> </w:t>
      </w:r>
      <w:r>
        <w:rPr>
          <w:rFonts w:ascii="楷体" w:hAnsi="楷体" w:eastAsia="楷体"/>
        </w:rPr>
        <w:t xml:space="preserve">  日</w:t>
      </w:r>
    </w:p>
    <w:p>
      <w:pPr>
        <w:pStyle w:val="13"/>
        <w:spacing w:before="0" w:beforeAutospacing="0" w:after="0" w:afterAutospacing="0" w:line="360" w:lineRule="auto"/>
        <w:jc w:val="center"/>
        <w:rPr>
          <w:rFonts w:hint="eastAsia" w:ascii="楷体" w:hAnsi="楷体" w:eastAsia="楷体"/>
          <w:b/>
          <w:sz w:val="36"/>
          <w:szCs w:val="36"/>
        </w:rPr>
      </w:pPr>
      <w:r>
        <w:rPr>
          <w:rFonts w:ascii="楷体" w:hAnsi="楷体" w:eastAsia="楷体"/>
        </w:rPr>
        <w:br w:type="page"/>
      </w:r>
      <w:r>
        <w:rPr>
          <w:rFonts w:hint="eastAsia" w:ascii="楷体" w:hAnsi="楷体" w:eastAsia="楷体"/>
          <w:b/>
          <w:sz w:val="36"/>
          <w:szCs w:val="36"/>
        </w:rPr>
        <w:t>“苏银理财恒源融达1号”理财产品说明书</w:t>
      </w:r>
    </w:p>
    <w:p>
      <w:pPr>
        <w:jc w:val="center"/>
        <w:rPr>
          <w:rFonts w:hint="eastAsia" w:ascii="楷体" w:hAnsi="楷体" w:eastAsia="楷体"/>
          <w:b/>
          <w:sz w:val="28"/>
          <w:szCs w:val="28"/>
        </w:rPr>
      </w:pPr>
      <w:r>
        <w:rPr>
          <w:rFonts w:hint="eastAsia" w:ascii="楷体" w:hAnsi="楷体" w:eastAsia="楷体" w:cs="宋体"/>
          <w:b/>
          <w:kern w:val="0"/>
          <w:sz w:val="32"/>
          <w:szCs w:val="32"/>
        </w:rPr>
        <w:t>理财非存款、产品有风险、投资须谨慎</w:t>
      </w:r>
    </w:p>
    <w:p>
      <w:pPr>
        <w:rPr>
          <w:rFonts w:hint="eastAsia" w:ascii="楷体" w:hAnsi="楷体" w:eastAsia="楷体"/>
          <w:b/>
          <w:sz w:val="28"/>
          <w:szCs w:val="28"/>
        </w:rPr>
      </w:pPr>
      <w:r>
        <w:rPr>
          <w:rFonts w:hint="eastAsia" w:ascii="楷体" w:hAnsi="楷体" w:eastAsia="楷体"/>
          <w:b/>
          <w:sz w:val="28"/>
          <w:szCs w:val="28"/>
        </w:rPr>
        <w:t>重要须知</w:t>
      </w:r>
    </w:p>
    <w:p>
      <w:pPr>
        <w:numPr>
          <w:ilvl w:val="0"/>
          <w:numId w:val="13"/>
        </w:numPr>
        <w:rPr>
          <w:rFonts w:ascii="楷体" w:hAnsi="楷体" w:eastAsia="楷体"/>
          <w:sz w:val="24"/>
          <w:szCs w:val="24"/>
        </w:rPr>
      </w:pPr>
      <w:r>
        <w:rPr>
          <w:rFonts w:hint="eastAsia" w:ascii="楷体" w:hAnsi="楷体" w:eastAsia="楷体"/>
          <w:sz w:val="24"/>
          <w:szCs w:val="24"/>
        </w:rPr>
        <w:t>在购买本理财产品前，投资者应确保自己完全理解该项投资的性质和所涉及的风险，详细了解和审慎评估该理财产品的资金方向、风险类型等基本情况，在慎重考虑后自行决定购买与自身风险承受能力和资产管理需求匹配的理财产品。</w:t>
      </w:r>
    </w:p>
    <w:p>
      <w:pPr>
        <w:numPr>
          <w:ilvl w:val="0"/>
          <w:numId w:val="13"/>
        </w:numPr>
        <w:rPr>
          <w:rFonts w:ascii="楷体" w:hAnsi="楷体" w:eastAsia="楷体"/>
          <w:b/>
          <w:sz w:val="24"/>
          <w:szCs w:val="24"/>
          <w:u w:val="single"/>
        </w:rPr>
      </w:pPr>
      <w:r>
        <w:rPr>
          <w:rFonts w:hint="eastAsia" w:ascii="楷体" w:hAnsi="楷体" w:eastAsia="楷体"/>
          <w:b/>
          <w:sz w:val="24"/>
          <w:szCs w:val="24"/>
          <w:u w:val="single"/>
        </w:rPr>
        <w:t>本理财产品不保证本金及收益，您的本金可能因市场变动</w:t>
      </w:r>
      <w:r>
        <w:rPr>
          <w:rFonts w:hint="eastAsia" w:ascii="楷体" w:hAnsi="楷体" w:eastAsia="楷体"/>
          <w:b/>
          <w:sz w:val="24"/>
          <w:szCs w:val="24"/>
          <w:u w:val="single"/>
          <w:lang w:val="en-US" w:eastAsia="zh-CN"/>
        </w:rPr>
        <w:t>或者交易违约等事项</w:t>
      </w:r>
      <w:r>
        <w:rPr>
          <w:rFonts w:hint="eastAsia" w:ascii="楷体" w:hAnsi="楷体" w:eastAsia="楷体"/>
          <w:b/>
          <w:sz w:val="24"/>
          <w:szCs w:val="24"/>
          <w:u w:val="single"/>
        </w:rPr>
        <w:t>而蒙受相应损失，投资者应充分认识投资风险，谨慎投资；本理财产品过往业绩不代表其未来表现，不等于理财产品实际收益，投资须谨慎；理财非存款、产品有风险、投资须谨慎。</w:t>
      </w:r>
    </w:p>
    <w:p>
      <w:pPr>
        <w:numPr>
          <w:ilvl w:val="0"/>
          <w:numId w:val="13"/>
        </w:numPr>
        <w:rPr>
          <w:rFonts w:ascii="楷体" w:hAnsi="楷体" w:eastAsia="楷体"/>
          <w:b/>
          <w:sz w:val="24"/>
          <w:szCs w:val="24"/>
          <w:u w:val="single"/>
        </w:rPr>
      </w:pPr>
      <w:r>
        <w:rPr>
          <w:rFonts w:hint="eastAsia" w:ascii="楷体" w:hAnsi="楷体" w:eastAsia="楷体"/>
          <w:b/>
          <w:sz w:val="24"/>
          <w:szCs w:val="24"/>
          <w:u w:val="single"/>
        </w:rPr>
        <w:t>本理财产品的任何业绩比较区间、业绩比较基准类似表述均属不具有法律约束力的用语，业绩比较基准</w:t>
      </w:r>
      <w:r>
        <w:rPr>
          <w:rFonts w:hint="eastAsia" w:ascii="楷体" w:hAnsi="楷体" w:eastAsia="楷体"/>
          <w:b/>
          <w:sz w:val="24"/>
          <w:szCs w:val="24"/>
          <w:u w:val="single"/>
          <w:lang w:val="en-US" w:eastAsia="zh-CN"/>
        </w:rPr>
        <w:t>为管理人</w:t>
      </w:r>
      <w:r>
        <w:rPr>
          <w:rFonts w:hint="eastAsia" w:ascii="楷体" w:hAnsi="楷体" w:eastAsia="楷体"/>
          <w:b/>
          <w:sz w:val="24"/>
          <w:szCs w:val="24"/>
          <w:u w:val="single"/>
        </w:rPr>
        <w:t>对本产品所设定的投资目标</w:t>
      </w:r>
      <w:r>
        <w:rPr>
          <w:rFonts w:hint="eastAsia" w:ascii="楷体" w:hAnsi="楷体" w:eastAsia="楷体"/>
          <w:b/>
          <w:sz w:val="24"/>
          <w:szCs w:val="24"/>
          <w:u w:val="single"/>
          <w:lang w:eastAsia="zh-CN"/>
        </w:rPr>
        <w:t>，</w:t>
      </w:r>
      <w:r>
        <w:rPr>
          <w:rFonts w:hint="eastAsia" w:ascii="楷体" w:hAnsi="楷体" w:eastAsia="楷体"/>
          <w:b/>
          <w:sz w:val="24"/>
          <w:szCs w:val="24"/>
          <w:u w:val="single"/>
        </w:rPr>
        <w:t>不代表投资者可能获得的实际收益，亦不构成苏银理财有限责任公司（以下简称“苏银理财”）对本理财产品的任何收益承诺。</w:t>
      </w:r>
    </w:p>
    <w:p>
      <w:pPr>
        <w:numPr>
          <w:ilvl w:val="0"/>
          <w:numId w:val="13"/>
        </w:numPr>
        <w:rPr>
          <w:rFonts w:ascii="楷体" w:hAnsi="楷体" w:eastAsia="楷体"/>
          <w:sz w:val="24"/>
          <w:szCs w:val="24"/>
        </w:rPr>
      </w:pPr>
      <w:r>
        <w:rPr>
          <w:rFonts w:hint="eastAsia" w:ascii="楷体" w:hAnsi="楷体" w:eastAsia="楷体"/>
          <w:sz w:val="24"/>
          <w:szCs w:val="24"/>
        </w:rPr>
        <w:t>《理财产品说明书》、《风险揭示书》、《投资者权益须知》、《理财产品投资协议书》、《理财产品（代理）销售协议书》共同构成本理财产品完整的不可分割的理财产品合同。</w:t>
      </w:r>
    </w:p>
    <w:p>
      <w:pPr>
        <w:numPr>
          <w:ilvl w:val="0"/>
          <w:numId w:val="13"/>
        </w:numPr>
        <w:rPr>
          <w:rFonts w:ascii="楷体" w:hAnsi="楷体" w:eastAsia="楷体"/>
          <w:sz w:val="24"/>
          <w:szCs w:val="24"/>
        </w:rPr>
      </w:pPr>
      <w:r>
        <w:rPr>
          <w:rFonts w:hint="eastAsia" w:ascii="楷体" w:hAnsi="楷体" w:eastAsia="楷体"/>
          <w:sz w:val="24"/>
          <w:szCs w:val="24"/>
        </w:rPr>
        <w:t>本理财产品涉及的主要风险包括政策风险、信用风险、市场风险、流动性风险、管理风险、操作风险、产品不成立风险、延期兑付风险、提前终止风险、信息传递风险、税务风险、代销风险</w:t>
      </w:r>
      <w:r>
        <w:rPr>
          <w:rFonts w:hint="eastAsia" w:ascii="楷体" w:hAnsi="楷体" w:eastAsia="楷体"/>
          <w:sz w:val="24"/>
          <w:szCs w:val="24"/>
          <w:lang w:eastAsia="zh-CN"/>
        </w:rPr>
        <w:t>（</w:t>
      </w:r>
      <w:r>
        <w:rPr>
          <w:rFonts w:hint="eastAsia" w:ascii="楷体" w:hAnsi="楷体" w:eastAsia="楷体"/>
          <w:sz w:val="24"/>
          <w:szCs w:val="24"/>
          <w:lang w:val="en-US" w:eastAsia="zh-CN"/>
        </w:rPr>
        <w:t>如有</w:t>
      </w:r>
      <w:r>
        <w:rPr>
          <w:rFonts w:hint="eastAsia" w:ascii="楷体" w:hAnsi="楷体" w:eastAsia="楷体"/>
          <w:sz w:val="24"/>
          <w:szCs w:val="24"/>
          <w:lang w:eastAsia="zh-CN"/>
        </w:rPr>
        <w:t>）</w:t>
      </w:r>
      <w:r>
        <w:rPr>
          <w:rFonts w:hint="eastAsia" w:ascii="楷体" w:hAnsi="楷体" w:eastAsia="楷体"/>
          <w:sz w:val="24"/>
          <w:szCs w:val="24"/>
        </w:rPr>
        <w:t>、其他风险等。请仔细阅读《“苏银理财恒源融达1号”理财产品风险揭示书》的“风险揭示”部分。</w:t>
      </w:r>
    </w:p>
    <w:p>
      <w:pPr>
        <w:numPr>
          <w:ilvl w:val="0"/>
          <w:numId w:val="13"/>
        </w:numPr>
        <w:rPr>
          <w:rFonts w:ascii="楷体" w:hAnsi="楷体" w:eastAsia="楷体"/>
          <w:b/>
          <w:sz w:val="24"/>
          <w:szCs w:val="24"/>
          <w:u w:val="single"/>
        </w:rPr>
      </w:pPr>
      <w:r>
        <w:rPr>
          <w:rFonts w:hint="eastAsia" w:ascii="楷体" w:hAnsi="楷体" w:eastAsia="楷体"/>
          <w:b/>
          <w:sz w:val="24"/>
          <w:szCs w:val="24"/>
          <w:u w:val="single"/>
        </w:rPr>
        <w:t>投资者不得使用贷款、发行债券等筹集的非自有资金投资本理财产品。</w:t>
      </w:r>
    </w:p>
    <w:p>
      <w:pPr>
        <w:numPr>
          <w:ilvl w:val="0"/>
          <w:numId w:val="13"/>
        </w:numPr>
        <w:rPr>
          <w:rFonts w:hint="eastAsia" w:ascii="楷体" w:hAnsi="楷体" w:eastAsia="楷体"/>
          <w:b/>
          <w:sz w:val="24"/>
          <w:szCs w:val="24"/>
          <w:u w:val="single"/>
        </w:rPr>
      </w:pPr>
      <w:r>
        <w:rPr>
          <w:rFonts w:hint="eastAsia" w:ascii="楷体" w:hAnsi="楷体" w:eastAsia="楷体"/>
          <w:sz w:val="24"/>
          <w:szCs w:val="24"/>
        </w:rPr>
        <w:t>本理财产品类型为</w:t>
      </w:r>
      <w:r>
        <w:rPr>
          <w:rFonts w:hint="eastAsia" w:ascii="楷体" w:hAnsi="楷体" w:eastAsia="楷体"/>
          <w:b/>
          <w:sz w:val="24"/>
          <w:szCs w:val="24"/>
          <w:u w:val="single"/>
        </w:rPr>
        <w:t>固定收益类</w:t>
      </w:r>
      <w:r>
        <w:rPr>
          <w:rFonts w:hint="eastAsia" w:ascii="楷体" w:hAnsi="楷体" w:eastAsia="楷体"/>
          <w:sz w:val="24"/>
          <w:szCs w:val="24"/>
        </w:rPr>
        <w:t>产品。若法律法规、监管政策及市场情况发生变化，苏银理财有权在不改变产品类型的情况下，可对本说明书中已约定的投资范围、投资品种、投资比例以及收费项目、条件、标准、方式和收益分配原则进行调整，</w:t>
      </w:r>
      <w:r>
        <w:rPr>
          <w:rFonts w:hint="eastAsia" w:ascii="楷体" w:hAnsi="楷体" w:eastAsia="楷体"/>
          <w:b/>
          <w:bCs/>
          <w:sz w:val="24"/>
          <w:szCs w:val="24"/>
          <w:u w:val="single"/>
        </w:rPr>
        <w:t>产品管理人将于调整事项生效前2个工作日通过短信及苏银理财有限责任公司官方网站（www.suyinwealth.com）、销售机构电子渠道和营业网点等方式进行信息披露。此种情况下产品管理人可能开放赎回，具体以届时产品管理人公告为准。若本理财产品的投资者不接受上述调整，可及时通过销售机构赎回本产品（高风险类型的理财产品超出比例范围投资较低风险资产的情况除外）；若本理财产品投资者未在约定的时间内赎回本产品，则视为本理财产品投资者接受相关调整且同意继续持有本理财产品。</w:t>
      </w:r>
    </w:p>
    <w:p>
      <w:pPr>
        <w:numPr>
          <w:ilvl w:val="0"/>
          <w:numId w:val="13"/>
        </w:numPr>
        <w:rPr>
          <w:rFonts w:hint="eastAsia" w:ascii="楷体" w:hAnsi="楷体" w:eastAsia="楷体"/>
          <w:sz w:val="24"/>
          <w:szCs w:val="24"/>
        </w:rPr>
      </w:pPr>
      <w:r>
        <w:rPr>
          <w:rFonts w:hint="eastAsia" w:ascii="楷体" w:hAnsi="楷体" w:eastAsia="楷体"/>
          <w:sz w:val="24"/>
          <w:szCs w:val="24"/>
        </w:rPr>
        <w:t>为贯彻落实</w:t>
      </w:r>
      <w:r>
        <w:rPr>
          <w:rFonts w:hint="eastAsia" w:ascii="楷体" w:hAnsi="楷体" w:eastAsia="楷体"/>
          <w:sz w:val="24"/>
          <w:szCs w:val="24"/>
          <w:lang w:val="en-US" w:eastAsia="zh-CN"/>
        </w:rPr>
        <w:t>金融监管总局</w:t>
      </w:r>
      <w:r>
        <w:rPr>
          <w:rFonts w:hint="eastAsia" w:ascii="楷体" w:hAnsi="楷体" w:eastAsia="楷体"/>
          <w:sz w:val="24"/>
          <w:szCs w:val="24"/>
        </w:rPr>
        <w:t>和银行业理财登记托管中心的要求，苏银理财将向监管机构报送理财产品投资者身份信息、每日交易、持仓等信息。后续</w:t>
      </w:r>
      <w:r>
        <w:rPr>
          <w:rFonts w:hint="eastAsia" w:ascii="楷体" w:hAnsi="楷体" w:eastAsia="楷体"/>
          <w:sz w:val="24"/>
          <w:szCs w:val="24"/>
          <w:lang w:val="en-US" w:eastAsia="zh-CN"/>
        </w:rPr>
        <w:t>金融监管总局</w:t>
      </w:r>
      <w:r>
        <w:rPr>
          <w:rFonts w:hint="eastAsia" w:ascii="楷体" w:hAnsi="楷体" w:eastAsia="楷体"/>
          <w:sz w:val="24"/>
          <w:szCs w:val="24"/>
        </w:rPr>
        <w:t>和银行业理财登记托管中心等机关如果提出新的信息报送要求，苏银理财将按照该等机关的要求执行。投资者签署本理财产品销售文件即视为已经同意苏银理财将按照相关机关要求报送投资者相关信息。</w:t>
      </w:r>
    </w:p>
    <w:p>
      <w:pPr>
        <w:numPr>
          <w:ilvl w:val="0"/>
          <w:numId w:val="13"/>
        </w:numPr>
        <w:rPr>
          <w:rFonts w:ascii="楷体" w:hAnsi="楷体" w:eastAsia="楷体"/>
          <w:sz w:val="24"/>
          <w:szCs w:val="24"/>
        </w:rPr>
      </w:pPr>
      <w:r>
        <w:rPr>
          <w:rFonts w:hint="eastAsia" w:ascii="楷体" w:hAnsi="楷体" w:eastAsia="楷体"/>
          <w:sz w:val="24"/>
          <w:szCs w:val="24"/>
        </w:rPr>
        <w:t>在本产品存续期内，如因监管政策或法律法规发生变化，在不损害投资者利益的前提下，苏银理财有权单方对本产品条款进行修订，并按本理财产品说明书约定的信息披露方式予以披露。</w:t>
      </w:r>
    </w:p>
    <w:p>
      <w:pPr>
        <w:numPr>
          <w:ilvl w:val="0"/>
          <w:numId w:val="13"/>
        </w:numPr>
        <w:rPr>
          <w:rFonts w:ascii="楷体" w:hAnsi="楷体" w:eastAsia="楷体"/>
          <w:sz w:val="24"/>
          <w:szCs w:val="24"/>
        </w:rPr>
      </w:pPr>
      <w:r>
        <w:rPr>
          <w:rFonts w:hint="eastAsia" w:ascii="楷体" w:hAnsi="楷体" w:eastAsia="楷体"/>
          <w:sz w:val="24"/>
          <w:szCs w:val="24"/>
        </w:rPr>
        <w:t>在购买本理财产品后，投资者应随时关注该理财产品的信息披露情况，及时获取相关信息。</w:t>
      </w:r>
    </w:p>
    <w:p>
      <w:pPr>
        <w:numPr>
          <w:ilvl w:val="0"/>
          <w:numId w:val="13"/>
        </w:numPr>
        <w:rPr>
          <w:rFonts w:hint="eastAsia" w:ascii="楷体" w:hAnsi="楷体" w:eastAsia="楷体"/>
        </w:rPr>
      </w:pPr>
      <w:r>
        <w:rPr>
          <w:rFonts w:hint="eastAsia" w:ascii="楷体" w:hAnsi="楷体" w:eastAsia="楷体"/>
          <w:sz w:val="24"/>
          <w:szCs w:val="24"/>
        </w:rPr>
        <w:t>本理财产品说明书在法律许可的范围内由苏银理财负责解释。</w:t>
      </w:r>
    </w:p>
    <w:p>
      <w:pPr>
        <w:ind w:left="420"/>
        <w:rPr>
          <w:rFonts w:hint="eastAsia" w:ascii="楷体" w:hAnsi="楷体" w:eastAsia="楷体"/>
          <w:sz w:val="24"/>
          <w:szCs w:val="24"/>
        </w:rPr>
      </w:pPr>
    </w:p>
    <w:p>
      <w:pPr>
        <w:numPr>
          <w:ilvl w:val="0"/>
          <w:numId w:val="14"/>
        </w:numPr>
        <w:tabs>
          <w:tab w:val="left" w:pos="1134"/>
        </w:tabs>
        <w:ind w:firstLine="562" w:firstLineChars="200"/>
        <w:rPr>
          <w:rFonts w:hint="eastAsia" w:ascii="楷体" w:hAnsi="楷体" w:eastAsia="楷体"/>
          <w:b/>
          <w:sz w:val="28"/>
          <w:szCs w:val="28"/>
        </w:rPr>
      </w:pPr>
      <w:r>
        <w:rPr>
          <w:rFonts w:hint="eastAsia" w:ascii="楷体" w:hAnsi="楷体" w:eastAsia="楷体"/>
          <w:b/>
          <w:sz w:val="28"/>
          <w:szCs w:val="28"/>
        </w:rPr>
        <w:t>产品要素</w:t>
      </w:r>
    </w:p>
    <w:p>
      <w:pPr>
        <w:ind w:firstLine="480" w:firstLineChars="200"/>
        <w:rPr>
          <w:rFonts w:ascii="楷体" w:hAnsi="楷体" w:eastAsia="楷体" w:cs="Calibri"/>
          <w:sz w:val="24"/>
          <w:szCs w:val="24"/>
        </w:rPr>
      </w:pPr>
      <w:r>
        <w:rPr>
          <w:rFonts w:hint="eastAsia" w:ascii="楷体" w:hAnsi="楷体" w:eastAsia="楷体" w:cs="Calibri"/>
          <w:sz w:val="24"/>
          <w:szCs w:val="24"/>
        </w:rPr>
        <w:t>为保护投资者合法权益，尊重投资者的知情权和自主选择权，现将本理财产品的基本要素说明如下：</w:t>
      </w:r>
    </w:p>
    <w:tbl>
      <w:tblPr>
        <w:tblStyle w:val="15"/>
        <w:tblW w:w="83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848"/>
        <w:gridCol w:w="6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4"/>
              <w:kinsoku w:val="0"/>
              <w:overflowPunct w:val="0"/>
              <w:spacing w:before="11"/>
              <w:ind w:left="2"/>
              <w:rPr>
                <w:rFonts w:ascii="楷体" w:hAnsi="楷体" w:eastAsia="楷体" w:cs="宋体"/>
                <w:b/>
                <w:spacing w:val="-2"/>
                <w:sz w:val="21"/>
                <w:szCs w:val="21"/>
              </w:rPr>
            </w:pPr>
            <w:r>
              <w:rPr>
                <w:rFonts w:hint="eastAsia" w:ascii="楷体" w:hAnsi="楷体" w:eastAsia="楷体" w:cs="宋体"/>
                <w:b/>
                <w:spacing w:val="-2"/>
                <w:sz w:val="21"/>
                <w:szCs w:val="21"/>
              </w:rPr>
              <w:t>产品名称</w:t>
            </w:r>
          </w:p>
        </w:tc>
        <w:tc>
          <w:tcPr>
            <w:tcW w:w="6468" w:type="dxa"/>
            <w:noWrap w:val="0"/>
            <w:vAlign w:val="center"/>
          </w:tcPr>
          <w:p>
            <w:pPr>
              <w:pStyle w:val="34"/>
              <w:kinsoku w:val="0"/>
              <w:overflowPunct w:val="0"/>
              <w:spacing w:before="13"/>
              <w:ind w:left="2"/>
              <w:rPr>
                <w:rFonts w:hint="eastAsia" w:ascii="楷体" w:hAnsi="楷体" w:eastAsia="楷体" w:cs="宋体"/>
                <w:spacing w:val="-2"/>
                <w:sz w:val="21"/>
                <w:szCs w:val="21"/>
              </w:rPr>
            </w:pPr>
            <w:r>
              <w:rPr>
                <w:rFonts w:hint="eastAsia" w:ascii="楷体" w:hAnsi="楷体" w:eastAsia="楷体" w:cs="宋体"/>
                <w:spacing w:val="-2"/>
                <w:sz w:val="21"/>
                <w:szCs w:val="21"/>
              </w:rPr>
              <w:t>苏银理财恒源融达1号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4"/>
              <w:kinsoku w:val="0"/>
              <w:overflowPunct w:val="0"/>
              <w:spacing w:before="140"/>
              <w:ind w:left="4"/>
              <w:rPr>
                <w:rFonts w:ascii="楷体" w:hAnsi="楷体" w:eastAsia="楷体" w:cs="宋体"/>
                <w:b/>
                <w:spacing w:val="-2"/>
                <w:sz w:val="21"/>
                <w:szCs w:val="21"/>
              </w:rPr>
            </w:pPr>
            <w:r>
              <w:rPr>
                <w:rFonts w:hint="eastAsia" w:ascii="楷体" w:hAnsi="楷体" w:eastAsia="楷体" w:cs="宋体"/>
                <w:b/>
                <w:spacing w:val="-2"/>
                <w:sz w:val="21"/>
                <w:szCs w:val="21"/>
              </w:rPr>
              <w:t>理财产品登记编码</w:t>
            </w:r>
          </w:p>
        </w:tc>
        <w:tc>
          <w:tcPr>
            <w:tcW w:w="6468" w:type="dxa"/>
            <w:noWrap w:val="0"/>
            <w:vAlign w:val="center"/>
          </w:tcPr>
          <w:p>
            <w:pPr>
              <w:pStyle w:val="34"/>
              <w:kinsoku w:val="0"/>
              <w:overflowPunct w:val="0"/>
              <w:spacing w:line="260" w:lineRule="exact"/>
              <w:ind w:left="10"/>
              <w:rPr>
                <w:rFonts w:hint="eastAsia" w:ascii="楷体" w:hAnsi="楷体" w:eastAsia="楷体" w:cs="宋体"/>
                <w:spacing w:val="-2"/>
                <w:sz w:val="21"/>
                <w:szCs w:val="21"/>
              </w:rPr>
            </w:pPr>
            <w:r>
              <w:rPr>
                <w:rFonts w:hint="eastAsia" w:ascii="楷体" w:hAnsi="楷体" w:eastAsia="楷体" w:cs="宋体"/>
                <w:spacing w:val="-2"/>
                <w:sz w:val="21"/>
                <w:szCs w:val="21"/>
              </w:rPr>
              <w:t>Z7003123000062</w:t>
            </w:r>
          </w:p>
          <w:p>
            <w:pPr>
              <w:pStyle w:val="34"/>
              <w:kinsoku w:val="0"/>
              <w:overflowPunct w:val="0"/>
              <w:spacing w:line="260" w:lineRule="exact"/>
              <w:ind w:left="10"/>
              <w:rPr>
                <w:rFonts w:ascii="楷体" w:hAnsi="楷体" w:eastAsia="楷体" w:cs="宋体"/>
                <w:spacing w:val="-2"/>
                <w:sz w:val="21"/>
                <w:szCs w:val="21"/>
              </w:rPr>
            </w:pPr>
            <w:r>
              <w:rPr>
                <w:rFonts w:hint="eastAsia" w:ascii="楷体" w:hAnsi="楷体" w:eastAsia="楷体" w:cs="宋体"/>
                <w:spacing w:val="-2"/>
                <w:sz w:val="21"/>
                <w:szCs w:val="21"/>
              </w:rPr>
              <w:t>（投资者可依据该编码在中国理财网</w:t>
            </w:r>
            <w:r>
              <w:rPr>
                <w:rFonts w:ascii="楷体" w:hAnsi="楷体" w:eastAsia="楷体" w:cs="宋体"/>
                <w:spacing w:val="-2"/>
                <w:sz w:val="21"/>
                <w:szCs w:val="21"/>
              </w:rPr>
              <w:fldChar w:fldCharType="begin"/>
            </w:r>
            <w:r>
              <w:rPr>
                <w:rFonts w:ascii="楷体" w:hAnsi="楷体" w:eastAsia="楷体" w:cs="宋体"/>
                <w:spacing w:val="-2"/>
                <w:sz w:val="21"/>
                <w:szCs w:val="21"/>
              </w:rPr>
              <w:instrText xml:space="preserve"> HYPERLINK "http://www.chinawealth.com.cn/" </w:instrText>
            </w:r>
            <w:r>
              <w:rPr>
                <w:rFonts w:ascii="楷体" w:hAnsi="楷体" w:eastAsia="楷体" w:cs="宋体"/>
                <w:spacing w:val="-2"/>
                <w:sz w:val="21"/>
                <w:szCs w:val="21"/>
              </w:rPr>
              <w:fldChar w:fldCharType="separate"/>
            </w:r>
            <w:r>
              <w:rPr>
                <w:rFonts w:ascii="楷体" w:hAnsi="楷体" w:eastAsia="楷体" w:cs="宋体"/>
                <w:spacing w:val="-2"/>
                <w:sz w:val="21"/>
                <w:szCs w:val="21"/>
              </w:rPr>
              <w:t>www.chinawealth.com.cn</w:t>
            </w:r>
            <w:r>
              <w:rPr>
                <w:rFonts w:ascii="楷体" w:hAnsi="楷体" w:eastAsia="楷体" w:cs="宋体"/>
                <w:spacing w:val="-2"/>
                <w:sz w:val="21"/>
                <w:szCs w:val="21"/>
              </w:rPr>
              <w:fldChar w:fldCharType="end"/>
            </w:r>
            <w:r>
              <w:rPr>
                <w:rFonts w:hint="eastAsia" w:ascii="楷体" w:hAnsi="楷体" w:eastAsia="楷体" w:cs="宋体"/>
                <w:spacing w:val="-2"/>
                <w:sz w:val="21"/>
                <w:szCs w:val="21"/>
              </w:rPr>
              <w:t>查询产品信息），产品变更前原理财产品登记编码为C1086818000096。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4"/>
              <w:kinsoku w:val="0"/>
              <w:overflowPunct w:val="0"/>
              <w:spacing w:before="13"/>
              <w:ind w:left="2"/>
              <w:rPr>
                <w:rFonts w:ascii="楷体" w:hAnsi="楷体" w:eastAsia="楷体" w:cs="宋体"/>
                <w:b/>
                <w:spacing w:val="-2"/>
                <w:sz w:val="21"/>
                <w:szCs w:val="21"/>
              </w:rPr>
            </w:pPr>
            <w:r>
              <w:rPr>
                <w:rFonts w:hint="eastAsia" w:ascii="楷体" w:hAnsi="楷体" w:eastAsia="楷体" w:cs="宋体"/>
                <w:b/>
                <w:spacing w:val="-2"/>
                <w:sz w:val="21"/>
                <w:szCs w:val="21"/>
              </w:rPr>
              <w:t>销售简称/销售代码</w:t>
            </w:r>
          </w:p>
        </w:tc>
        <w:tc>
          <w:tcPr>
            <w:tcW w:w="6468" w:type="dxa"/>
            <w:noWrap w:val="0"/>
            <w:vAlign w:val="center"/>
          </w:tcPr>
          <w:p>
            <w:pPr>
              <w:pStyle w:val="34"/>
              <w:kinsoku w:val="0"/>
              <w:overflowPunct w:val="0"/>
              <w:spacing w:before="12"/>
              <w:ind w:left="3"/>
              <w:rPr>
                <w:rFonts w:hint="eastAsia" w:ascii="楷体" w:hAnsi="楷体" w:eastAsia="楷体" w:cs="宋体"/>
                <w:spacing w:val="-2"/>
                <w:sz w:val="21"/>
                <w:szCs w:val="21"/>
              </w:rPr>
            </w:pPr>
            <w:r>
              <w:rPr>
                <w:rFonts w:hint="eastAsia" w:ascii="楷体" w:hAnsi="楷体" w:eastAsia="楷体" w:cs="宋体"/>
                <w:spacing w:val="-2"/>
                <w:sz w:val="21"/>
                <w:szCs w:val="21"/>
              </w:rPr>
              <w:t>芙蓉锦程·优选份额：苏银理财</w:t>
            </w:r>
            <w:r>
              <w:rPr>
                <w:rFonts w:hint="eastAsia" w:ascii="楷体" w:hAnsi="楷体" w:eastAsia="楷体" w:cs="宋体"/>
                <w:spacing w:val="-2"/>
                <w:sz w:val="21"/>
                <w:szCs w:val="21"/>
                <w:lang w:val="en-US" w:eastAsia="zh-CN"/>
              </w:rPr>
              <w:t>恒源</w:t>
            </w:r>
            <w:r>
              <w:rPr>
                <w:rFonts w:hint="eastAsia" w:ascii="楷体" w:hAnsi="楷体" w:eastAsia="楷体" w:cs="宋体"/>
                <w:spacing w:val="-2"/>
                <w:sz w:val="21"/>
                <w:szCs w:val="21"/>
              </w:rPr>
              <w:t>融达1号6月</w:t>
            </w:r>
            <w:r>
              <w:rPr>
                <w:rFonts w:hint="eastAsia" w:ascii="楷体" w:hAnsi="楷体" w:eastAsia="楷体" w:cs="宋体"/>
                <w:spacing w:val="-2"/>
                <w:sz w:val="21"/>
                <w:szCs w:val="21"/>
                <w:lang w:eastAsia="zh-CN"/>
              </w:rPr>
              <w:t>（</w:t>
            </w:r>
            <w:r>
              <w:rPr>
                <w:rFonts w:hint="eastAsia" w:ascii="楷体" w:hAnsi="楷体" w:eastAsia="楷体" w:cs="宋体"/>
                <w:spacing w:val="-2"/>
                <w:sz w:val="21"/>
                <w:szCs w:val="21"/>
              </w:rPr>
              <w:t>芙蓉锦程·优选</w:t>
            </w:r>
            <w:r>
              <w:rPr>
                <w:rFonts w:hint="eastAsia" w:ascii="楷体" w:hAnsi="楷体" w:eastAsia="楷体" w:cs="宋体"/>
                <w:spacing w:val="-2"/>
                <w:sz w:val="21"/>
                <w:szCs w:val="21"/>
                <w:lang w:eastAsia="zh-CN"/>
              </w:rPr>
              <w:t>）</w:t>
            </w:r>
            <w:r>
              <w:rPr>
                <w:rFonts w:hint="eastAsia" w:ascii="楷体" w:hAnsi="楷体" w:eastAsia="楷体" w:cs="宋体"/>
                <w:spacing w:val="-2"/>
                <w:sz w:val="21"/>
                <w:szCs w:val="21"/>
              </w:rPr>
              <w:t>/J03612</w:t>
            </w:r>
          </w:p>
          <w:p>
            <w:pPr>
              <w:pStyle w:val="34"/>
              <w:kinsoku w:val="0"/>
              <w:overflowPunct w:val="0"/>
              <w:spacing w:before="12"/>
              <w:ind w:left="3"/>
              <w:rPr>
                <w:rFonts w:hint="eastAsia" w:ascii="楷体" w:hAnsi="楷体" w:eastAsia="楷体" w:cs="宋体"/>
                <w:spacing w:val="-2"/>
                <w:sz w:val="21"/>
                <w:szCs w:val="21"/>
              </w:rPr>
            </w:pPr>
            <w:r>
              <w:rPr>
                <w:rFonts w:hint="eastAsia" w:ascii="楷体" w:hAnsi="楷体" w:eastAsia="楷体" w:cs="宋体"/>
                <w:spacing w:val="-2"/>
                <w:sz w:val="21"/>
                <w:szCs w:val="21"/>
                <w:lang w:val="en-US" w:eastAsia="zh-CN"/>
              </w:rPr>
              <w:t>Z</w:t>
            </w:r>
            <w:r>
              <w:rPr>
                <w:rFonts w:hint="eastAsia" w:ascii="楷体" w:hAnsi="楷体" w:eastAsia="楷体" w:cs="宋体"/>
                <w:spacing w:val="-2"/>
                <w:sz w:val="21"/>
                <w:szCs w:val="21"/>
              </w:rPr>
              <w:t>份额：苏银理财</w:t>
            </w:r>
            <w:r>
              <w:rPr>
                <w:rFonts w:hint="eastAsia" w:ascii="楷体" w:hAnsi="楷体" w:eastAsia="楷体" w:cs="宋体"/>
                <w:spacing w:val="-2"/>
                <w:sz w:val="21"/>
                <w:szCs w:val="21"/>
                <w:lang w:val="en-US" w:eastAsia="zh-CN"/>
              </w:rPr>
              <w:t>恒源</w:t>
            </w:r>
            <w:r>
              <w:rPr>
                <w:rFonts w:hint="eastAsia" w:ascii="楷体" w:hAnsi="楷体" w:eastAsia="楷体" w:cs="宋体"/>
                <w:spacing w:val="-2"/>
                <w:sz w:val="21"/>
                <w:szCs w:val="21"/>
              </w:rPr>
              <w:t>融达1号6月</w:t>
            </w:r>
            <w:r>
              <w:rPr>
                <w:rFonts w:hint="eastAsia" w:ascii="楷体" w:hAnsi="楷体" w:eastAsia="楷体" w:cs="宋体"/>
                <w:spacing w:val="-2"/>
                <w:sz w:val="21"/>
                <w:szCs w:val="21"/>
                <w:lang w:val="en-US" w:eastAsia="zh-CN"/>
              </w:rPr>
              <w:t>Z</w:t>
            </w:r>
            <w:r>
              <w:rPr>
                <w:rFonts w:hint="eastAsia" w:ascii="楷体" w:hAnsi="楷体" w:eastAsia="楷体" w:cs="宋体"/>
                <w:spacing w:val="-2"/>
                <w:sz w:val="21"/>
                <w:szCs w:val="21"/>
              </w:rPr>
              <w:t>/J03613</w:t>
            </w:r>
          </w:p>
          <w:p>
            <w:pPr>
              <w:pStyle w:val="34"/>
              <w:kinsoku w:val="0"/>
              <w:overflowPunct w:val="0"/>
              <w:spacing w:before="12"/>
              <w:ind w:left="3"/>
              <w:rPr>
                <w:rFonts w:hint="eastAsia" w:ascii="楷体" w:hAnsi="楷体" w:eastAsia="楷体" w:cs="宋体"/>
                <w:spacing w:val="-2"/>
                <w:sz w:val="21"/>
                <w:szCs w:val="21"/>
              </w:rPr>
            </w:pPr>
            <w:r>
              <w:rPr>
                <w:rFonts w:hint="eastAsia" w:ascii="楷体" w:hAnsi="楷体" w:eastAsia="楷体" w:cs="宋体"/>
                <w:spacing w:val="-2"/>
                <w:sz w:val="21"/>
                <w:szCs w:val="21"/>
                <w:lang w:val="en-US" w:eastAsia="zh-CN"/>
              </w:rPr>
              <w:t>Q</w:t>
            </w:r>
            <w:r>
              <w:rPr>
                <w:rFonts w:hint="eastAsia" w:ascii="楷体" w:hAnsi="楷体" w:eastAsia="楷体" w:cs="宋体"/>
                <w:spacing w:val="-2"/>
                <w:sz w:val="21"/>
                <w:szCs w:val="21"/>
              </w:rPr>
              <w:t>份额：苏银理财</w:t>
            </w:r>
            <w:r>
              <w:rPr>
                <w:rFonts w:hint="eastAsia" w:ascii="楷体" w:hAnsi="楷体" w:eastAsia="楷体" w:cs="宋体"/>
                <w:spacing w:val="-2"/>
                <w:sz w:val="21"/>
                <w:szCs w:val="21"/>
                <w:lang w:val="en-US" w:eastAsia="zh-CN"/>
              </w:rPr>
              <w:t>恒源</w:t>
            </w:r>
            <w:r>
              <w:rPr>
                <w:rFonts w:hint="eastAsia" w:ascii="楷体" w:hAnsi="楷体" w:eastAsia="楷体" w:cs="宋体"/>
                <w:spacing w:val="-2"/>
                <w:sz w:val="21"/>
                <w:szCs w:val="21"/>
              </w:rPr>
              <w:t>融达1号6月</w:t>
            </w:r>
            <w:r>
              <w:rPr>
                <w:rFonts w:hint="eastAsia" w:ascii="楷体" w:hAnsi="楷体" w:eastAsia="楷体" w:cs="宋体"/>
                <w:spacing w:val="-2"/>
                <w:sz w:val="21"/>
                <w:szCs w:val="21"/>
                <w:lang w:val="en-US" w:eastAsia="zh-CN"/>
              </w:rPr>
              <w:t>Q</w:t>
            </w:r>
            <w:r>
              <w:rPr>
                <w:rFonts w:hint="eastAsia" w:ascii="楷体" w:hAnsi="楷体" w:eastAsia="楷体" w:cs="宋体"/>
                <w:spacing w:val="-2"/>
                <w:sz w:val="21"/>
                <w:szCs w:val="21"/>
              </w:rPr>
              <w:t>/J03614</w:t>
            </w:r>
          </w:p>
          <w:p>
            <w:pPr>
              <w:pStyle w:val="34"/>
              <w:kinsoku w:val="0"/>
              <w:overflowPunct w:val="0"/>
              <w:spacing w:before="12"/>
              <w:ind w:left="3"/>
              <w:rPr>
                <w:rFonts w:hint="eastAsia" w:ascii="楷体" w:hAnsi="楷体" w:eastAsia="楷体" w:cs="宋体"/>
                <w:spacing w:val="-2"/>
                <w:sz w:val="21"/>
                <w:szCs w:val="21"/>
              </w:rPr>
            </w:pPr>
            <w:r>
              <w:rPr>
                <w:rFonts w:hint="eastAsia" w:ascii="楷体" w:hAnsi="楷体" w:eastAsia="楷体" w:cs="宋体"/>
                <w:spacing w:val="-2"/>
                <w:sz w:val="21"/>
                <w:szCs w:val="21"/>
                <w:lang w:val="en-US" w:eastAsia="zh-CN"/>
              </w:rPr>
              <w:t>JS</w:t>
            </w:r>
            <w:r>
              <w:rPr>
                <w:rFonts w:hint="eastAsia" w:ascii="楷体" w:hAnsi="楷体" w:eastAsia="楷体" w:cs="宋体"/>
                <w:spacing w:val="-2"/>
                <w:sz w:val="21"/>
                <w:szCs w:val="21"/>
              </w:rPr>
              <w:t>份额：苏银理财</w:t>
            </w:r>
            <w:r>
              <w:rPr>
                <w:rFonts w:hint="eastAsia" w:ascii="楷体" w:hAnsi="楷体" w:eastAsia="楷体" w:cs="宋体"/>
                <w:spacing w:val="-2"/>
                <w:sz w:val="21"/>
                <w:szCs w:val="21"/>
                <w:lang w:val="en-US" w:eastAsia="zh-CN"/>
              </w:rPr>
              <w:t>恒源</w:t>
            </w:r>
            <w:r>
              <w:rPr>
                <w:rFonts w:hint="eastAsia" w:ascii="楷体" w:hAnsi="楷体" w:eastAsia="楷体" w:cs="宋体"/>
                <w:spacing w:val="-2"/>
                <w:sz w:val="21"/>
                <w:szCs w:val="21"/>
              </w:rPr>
              <w:t>融达1号6月</w:t>
            </w:r>
            <w:r>
              <w:rPr>
                <w:rFonts w:hint="eastAsia" w:ascii="楷体" w:hAnsi="楷体" w:eastAsia="楷体" w:cs="宋体"/>
                <w:spacing w:val="-2"/>
                <w:sz w:val="21"/>
                <w:szCs w:val="21"/>
                <w:lang w:val="en-US" w:eastAsia="zh-CN"/>
              </w:rPr>
              <w:t>JS鑫福款</w:t>
            </w:r>
            <w:r>
              <w:rPr>
                <w:rFonts w:hint="eastAsia" w:ascii="楷体" w:hAnsi="楷体" w:eastAsia="楷体" w:cs="宋体"/>
                <w:spacing w:val="-2"/>
                <w:sz w:val="21"/>
                <w:szCs w:val="21"/>
              </w:rPr>
              <w:t>/J03807</w:t>
            </w:r>
          </w:p>
          <w:p>
            <w:pPr>
              <w:pStyle w:val="34"/>
              <w:kinsoku w:val="0"/>
              <w:overflowPunct w:val="0"/>
              <w:spacing w:before="12"/>
              <w:ind w:left="3"/>
              <w:rPr>
                <w:rFonts w:hint="eastAsia" w:ascii="楷体" w:hAnsi="楷体" w:eastAsia="楷体" w:cs="宋体"/>
                <w:spacing w:val="-2"/>
                <w:sz w:val="21"/>
                <w:szCs w:val="21"/>
              </w:rPr>
            </w:pPr>
            <w:r>
              <w:rPr>
                <w:rFonts w:hint="eastAsia" w:ascii="楷体" w:hAnsi="楷体" w:eastAsia="楷体" w:cs="宋体"/>
                <w:spacing w:val="-2"/>
                <w:sz w:val="21"/>
                <w:szCs w:val="21"/>
              </w:rPr>
              <w:t>芙蓉锦程·优选</w:t>
            </w:r>
            <w:r>
              <w:rPr>
                <w:rFonts w:hint="eastAsia" w:ascii="楷体" w:hAnsi="楷体" w:eastAsia="楷体" w:cs="宋体"/>
                <w:spacing w:val="-2"/>
                <w:sz w:val="21"/>
                <w:szCs w:val="21"/>
                <w:lang w:val="en-US" w:eastAsia="zh-CN"/>
              </w:rPr>
              <w:t>-尊享款</w:t>
            </w:r>
            <w:r>
              <w:rPr>
                <w:rFonts w:hint="eastAsia" w:ascii="楷体" w:hAnsi="楷体" w:eastAsia="楷体" w:cs="宋体"/>
                <w:spacing w:val="-2"/>
                <w:sz w:val="21"/>
                <w:szCs w:val="21"/>
              </w:rPr>
              <w:t>份额：苏银理财</w:t>
            </w:r>
            <w:r>
              <w:rPr>
                <w:rFonts w:hint="eastAsia" w:ascii="楷体" w:hAnsi="楷体" w:eastAsia="楷体" w:cs="宋体"/>
                <w:spacing w:val="-2"/>
                <w:sz w:val="21"/>
                <w:szCs w:val="21"/>
                <w:lang w:val="en-US" w:eastAsia="zh-CN"/>
              </w:rPr>
              <w:t>恒源</w:t>
            </w:r>
            <w:r>
              <w:rPr>
                <w:rFonts w:hint="eastAsia" w:ascii="楷体" w:hAnsi="楷体" w:eastAsia="楷体" w:cs="宋体"/>
                <w:spacing w:val="-2"/>
                <w:sz w:val="21"/>
                <w:szCs w:val="21"/>
              </w:rPr>
              <w:t>融达1号6月</w:t>
            </w:r>
            <w:r>
              <w:rPr>
                <w:rFonts w:hint="eastAsia" w:ascii="楷体" w:hAnsi="楷体" w:eastAsia="楷体" w:cs="宋体"/>
                <w:spacing w:val="-2"/>
                <w:sz w:val="21"/>
                <w:szCs w:val="21"/>
                <w:lang w:eastAsia="zh-CN"/>
              </w:rPr>
              <w:t>（</w:t>
            </w:r>
            <w:r>
              <w:rPr>
                <w:rFonts w:hint="eastAsia" w:ascii="楷体" w:hAnsi="楷体" w:eastAsia="楷体" w:cs="宋体"/>
                <w:spacing w:val="-2"/>
                <w:sz w:val="21"/>
                <w:szCs w:val="21"/>
              </w:rPr>
              <w:t>芙蓉锦程·优选</w:t>
            </w:r>
            <w:r>
              <w:rPr>
                <w:rFonts w:hint="eastAsia" w:ascii="楷体" w:hAnsi="楷体" w:eastAsia="楷体" w:cs="宋体"/>
                <w:spacing w:val="-2"/>
                <w:sz w:val="21"/>
                <w:szCs w:val="21"/>
                <w:lang w:val="en-US" w:eastAsia="zh-CN"/>
              </w:rPr>
              <w:t>-尊享款</w:t>
            </w:r>
            <w:r>
              <w:rPr>
                <w:rFonts w:hint="eastAsia" w:ascii="楷体" w:hAnsi="楷体" w:eastAsia="楷体" w:cs="宋体"/>
                <w:spacing w:val="-2"/>
                <w:sz w:val="21"/>
                <w:szCs w:val="21"/>
                <w:lang w:eastAsia="zh-CN"/>
              </w:rPr>
              <w:t>）</w:t>
            </w:r>
            <w:r>
              <w:rPr>
                <w:rFonts w:hint="eastAsia" w:ascii="楷体" w:hAnsi="楷体" w:eastAsia="楷体" w:cs="宋体"/>
                <w:spacing w:val="-2"/>
                <w:sz w:val="21"/>
                <w:szCs w:val="21"/>
              </w:rPr>
              <w:t>/J04954</w:t>
            </w:r>
          </w:p>
          <w:p>
            <w:pPr>
              <w:pStyle w:val="34"/>
              <w:kinsoku w:val="0"/>
              <w:overflowPunct w:val="0"/>
              <w:spacing w:before="12"/>
              <w:ind w:left="3"/>
              <w:rPr>
                <w:rFonts w:hint="eastAsia" w:ascii="楷体" w:hAnsi="楷体" w:eastAsia="楷体" w:cs="宋体"/>
                <w:spacing w:val="-2"/>
                <w:sz w:val="21"/>
                <w:szCs w:val="21"/>
                <w:lang w:val="en-US" w:eastAsia="zh-CN"/>
              </w:rPr>
            </w:pPr>
            <w:r>
              <w:rPr>
                <w:rFonts w:hint="eastAsia" w:ascii="楷体" w:hAnsi="楷体" w:eastAsia="楷体" w:cs="宋体"/>
                <w:spacing w:val="-2"/>
                <w:sz w:val="21"/>
                <w:szCs w:val="21"/>
                <w:lang w:val="en-US" w:eastAsia="zh-CN"/>
              </w:rPr>
              <w:t>北部湾银行专属份额：</w:t>
            </w:r>
            <w:r>
              <w:rPr>
                <w:rFonts w:hint="eastAsia" w:ascii="楷体" w:hAnsi="楷体" w:eastAsia="楷体" w:cs="宋体"/>
                <w:spacing w:val="-2"/>
                <w:sz w:val="21"/>
                <w:szCs w:val="21"/>
              </w:rPr>
              <w:t>苏银理财</w:t>
            </w:r>
            <w:r>
              <w:rPr>
                <w:rFonts w:hint="eastAsia" w:ascii="楷体" w:hAnsi="楷体" w:eastAsia="楷体" w:cs="宋体"/>
                <w:spacing w:val="-2"/>
                <w:sz w:val="21"/>
                <w:szCs w:val="21"/>
                <w:lang w:val="en-US" w:eastAsia="zh-CN"/>
              </w:rPr>
              <w:t>恒源</w:t>
            </w:r>
            <w:r>
              <w:rPr>
                <w:rFonts w:hint="eastAsia" w:ascii="楷体" w:hAnsi="楷体" w:eastAsia="楷体" w:cs="宋体"/>
                <w:spacing w:val="-2"/>
                <w:sz w:val="21"/>
                <w:szCs w:val="21"/>
              </w:rPr>
              <w:t>融达1号6月</w:t>
            </w:r>
            <w:r>
              <w:rPr>
                <w:rFonts w:hint="eastAsia" w:ascii="楷体" w:hAnsi="楷体" w:eastAsia="楷体" w:cs="宋体"/>
                <w:spacing w:val="-2"/>
                <w:sz w:val="21"/>
                <w:szCs w:val="21"/>
                <w:lang w:eastAsia="zh-CN"/>
              </w:rPr>
              <w:t>（</w:t>
            </w:r>
            <w:r>
              <w:rPr>
                <w:rFonts w:hint="eastAsia" w:ascii="楷体" w:hAnsi="楷体" w:eastAsia="楷体" w:cs="宋体"/>
                <w:spacing w:val="-2"/>
                <w:sz w:val="21"/>
                <w:szCs w:val="21"/>
                <w:lang w:val="en-US" w:eastAsia="zh-CN"/>
              </w:rPr>
              <w:t>北部湾银行专属</w:t>
            </w:r>
            <w:r>
              <w:rPr>
                <w:rFonts w:hint="eastAsia" w:ascii="楷体" w:hAnsi="楷体" w:eastAsia="楷体" w:cs="宋体"/>
                <w:spacing w:val="-2"/>
                <w:sz w:val="21"/>
                <w:szCs w:val="21"/>
                <w:lang w:eastAsia="zh-CN"/>
              </w:rPr>
              <w:t>）</w:t>
            </w:r>
            <w:r>
              <w:rPr>
                <w:rFonts w:hint="eastAsia" w:ascii="楷体" w:hAnsi="楷体" w:eastAsia="楷体" w:cs="宋体"/>
                <w:spacing w:val="-2"/>
                <w:sz w:val="21"/>
                <w:szCs w:val="21"/>
                <w:lang w:val="en-US" w:eastAsia="zh-CN"/>
              </w:rPr>
              <w:t>/J07237</w:t>
            </w:r>
          </w:p>
          <w:p>
            <w:pPr>
              <w:pStyle w:val="34"/>
              <w:kinsoku w:val="0"/>
              <w:overflowPunct w:val="0"/>
              <w:spacing w:before="12"/>
              <w:ind w:left="3"/>
              <w:rPr>
                <w:rFonts w:hint="default" w:ascii="楷体" w:hAnsi="楷体" w:eastAsia="楷体" w:cs="宋体"/>
                <w:spacing w:val="-2"/>
                <w:sz w:val="21"/>
                <w:szCs w:val="21"/>
                <w:lang w:val="en-US" w:eastAsia="zh-CN"/>
              </w:rPr>
            </w:pPr>
            <w:r>
              <w:rPr>
                <w:rFonts w:hint="eastAsia" w:ascii="楷体" w:hAnsi="楷体" w:eastAsia="楷体" w:cs="宋体"/>
                <w:spacing w:val="-2"/>
                <w:sz w:val="21"/>
                <w:szCs w:val="21"/>
                <w:lang w:val="en-US" w:eastAsia="zh-CN"/>
              </w:rPr>
              <w:t>P份额：</w:t>
            </w:r>
            <w:r>
              <w:rPr>
                <w:rFonts w:hint="eastAsia" w:ascii="楷体" w:hAnsi="楷体" w:eastAsia="楷体" w:cs="宋体"/>
                <w:spacing w:val="-2"/>
                <w:sz w:val="21"/>
                <w:szCs w:val="21"/>
              </w:rPr>
              <w:t>苏银理财</w:t>
            </w:r>
            <w:r>
              <w:rPr>
                <w:rFonts w:hint="eastAsia" w:ascii="楷体" w:hAnsi="楷体" w:eastAsia="楷体" w:cs="宋体"/>
                <w:spacing w:val="-2"/>
                <w:sz w:val="21"/>
                <w:szCs w:val="21"/>
                <w:lang w:val="en-US" w:eastAsia="zh-CN"/>
              </w:rPr>
              <w:t>恒源</w:t>
            </w:r>
            <w:r>
              <w:rPr>
                <w:rFonts w:hint="eastAsia" w:ascii="楷体" w:hAnsi="楷体" w:eastAsia="楷体" w:cs="宋体"/>
                <w:spacing w:val="-2"/>
                <w:sz w:val="21"/>
                <w:szCs w:val="21"/>
              </w:rPr>
              <w:t>融达1号6月</w:t>
            </w:r>
            <w:r>
              <w:rPr>
                <w:rFonts w:hint="eastAsia" w:ascii="楷体" w:hAnsi="楷体" w:eastAsia="楷体" w:cs="宋体"/>
                <w:spacing w:val="-2"/>
                <w:sz w:val="21"/>
                <w:szCs w:val="21"/>
                <w:lang w:val="en-US" w:eastAsia="zh-CN"/>
              </w:rPr>
              <w:t>P/J07303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4"/>
              <w:kinsoku w:val="0"/>
              <w:overflowPunct w:val="0"/>
              <w:spacing w:before="14"/>
              <w:rPr>
                <w:rFonts w:ascii="楷体" w:hAnsi="楷体" w:eastAsia="楷体" w:cs="宋体"/>
                <w:b/>
                <w:spacing w:val="-2"/>
                <w:sz w:val="21"/>
                <w:szCs w:val="21"/>
              </w:rPr>
            </w:pPr>
            <w:r>
              <w:rPr>
                <w:rFonts w:hint="eastAsia" w:ascii="楷体" w:hAnsi="楷体" w:eastAsia="楷体" w:cs="宋体"/>
                <w:b/>
                <w:spacing w:val="-2"/>
                <w:sz w:val="21"/>
                <w:szCs w:val="21"/>
              </w:rPr>
              <w:t>产品管理人</w:t>
            </w:r>
          </w:p>
        </w:tc>
        <w:tc>
          <w:tcPr>
            <w:tcW w:w="6468" w:type="dxa"/>
            <w:noWrap w:val="0"/>
            <w:vAlign w:val="center"/>
          </w:tcPr>
          <w:p>
            <w:pPr>
              <w:pStyle w:val="34"/>
              <w:kinsoku w:val="0"/>
              <w:overflowPunct w:val="0"/>
              <w:spacing w:before="12"/>
              <w:ind w:left="3"/>
              <w:rPr>
                <w:rFonts w:ascii="楷体" w:hAnsi="楷体" w:eastAsia="楷体" w:cs="宋体"/>
                <w:spacing w:val="-2"/>
                <w:sz w:val="21"/>
                <w:szCs w:val="21"/>
              </w:rPr>
            </w:pPr>
            <w:r>
              <w:rPr>
                <w:rFonts w:hint="eastAsia" w:ascii="楷体" w:hAnsi="楷体" w:eastAsia="楷体" w:cs="宋体"/>
                <w:spacing w:val="-2"/>
                <w:sz w:val="21"/>
                <w:szCs w:val="21"/>
              </w:rPr>
              <w:t>苏银理财有限责任公司，详见下文“二、产品管理人”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4"/>
              <w:kinsoku w:val="0"/>
              <w:overflowPunct w:val="0"/>
              <w:spacing w:before="13"/>
              <w:rPr>
                <w:rFonts w:ascii="楷体" w:hAnsi="楷体" w:eastAsia="楷体" w:cs="宋体"/>
                <w:b/>
                <w:spacing w:val="-2"/>
                <w:sz w:val="21"/>
                <w:szCs w:val="21"/>
              </w:rPr>
            </w:pPr>
            <w:r>
              <w:rPr>
                <w:rFonts w:hint="eastAsia" w:ascii="楷体" w:hAnsi="楷体" w:eastAsia="楷体" w:cs="宋体"/>
                <w:b/>
                <w:spacing w:val="-2"/>
                <w:sz w:val="21"/>
                <w:szCs w:val="21"/>
              </w:rPr>
              <w:t>产品托管人</w:t>
            </w:r>
          </w:p>
        </w:tc>
        <w:tc>
          <w:tcPr>
            <w:tcW w:w="6468" w:type="dxa"/>
            <w:noWrap w:val="0"/>
            <w:vAlign w:val="center"/>
          </w:tcPr>
          <w:p>
            <w:pPr>
              <w:pStyle w:val="34"/>
              <w:kinsoku w:val="0"/>
              <w:overflowPunct w:val="0"/>
              <w:spacing w:before="12"/>
              <w:ind w:left="3"/>
              <w:rPr>
                <w:rFonts w:ascii="楷体" w:hAnsi="楷体" w:eastAsia="楷体" w:cs="宋体"/>
                <w:spacing w:val="-2"/>
                <w:sz w:val="21"/>
                <w:szCs w:val="21"/>
              </w:rPr>
            </w:pPr>
            <w:r>
              <w:rPr>
                <w:rFonts w:hint="eastAsia" w:ascii="楷体" w:hAnsi="楷体" w:eastAsia="楷体" w:cs="宋体"/>
                <w:spacing w:val="-2"/>
                <w:sz w:val="21"/>
                <w:szCs w:val="21"/>
              </w:rPr>
              <w:t>江苏银行股份有限公司</w:t>
            </w:r>
            <w:r>
              <w:rPr>
                <w:rFonts w:hint="eastAsia" w:ascii="楷体" w:hAnsi="楷体" w:eastAsia="楷体" w:cs="宋体"/>
                <w:spacing w:val="-2"/>
                <w:sz w:val="21"/>
                <w:szCs w:val="21"/>
                <w:lang w:eastAsia="zh-CN"/>
              </w:rPr>
              <w:t>，</w:t>
            </w:r>
            <w:r>
              <w:rPr>
                <w:rFonts w:hint="eastAsia" w:ascii="楷体" w:hAnsi="楷体" w:eastAsia="楷体" w:cs="宋体"/>
                <w:spacing w:val="-2"/>
                <w:sz w:val="21"/>
                <w:szCs w:val="21"/>
              </w:rPr>
              <w:t>详见下文“十四、产品托管人”。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4"/>
              <w:kinsoku w:val="0"/>
              <w:overflowPunct w:val="0"/>
              <w:spacing w:before="13"/>
              <w:rPr>
                <w:rFonts w:hint="eastAsia" w:ascii="楷体" w:hAnsi="楷体" w:eastAsia="楷体" w:cs="宋体"/>
                <w:b/>
                <w:spacing w:val="-2"/>
                <w:sz w:val="21"/>
                <w:szCs w:val="21"/>
              </w:rPr>
            </w:pPr>
            <w:r>
              <w:rPr>
                <w:rFonts w:hint="eastAsia" w:ascii="楷体" w:hAnsi="楷体" w:eastAsia="楷体" w:cs="宋体"/>
                <w:b/>
                <w:spacing w:val="-2"/>
                <w:sz w:val="21"/>
                <w:szCs w:val="21"/>
              </w:rPr>
              <w:t>销售机构</w:t>
            </w:r>
          </w:p>
        </w:tc>
        <w:tc>
          <w:tcPr>
            <w:tcW w:w="6468" w:type="dxa"/>
            <w:noWrap w:val="0"/>
            <w:vAlign w:val="center"/>
          </w:tcPr>
          <w:p>
            <w:pPr>
              <w:pStyle w:val="34"/>
              <w:kinsoku w:val="0"/>
              <w:overflowPunct w:val="0"/>
              <w:spacing w:before="13"/>
              <w:ind w:left="4"/>
              <w:rPr>
                <w:rFonts w:hint="eastAsia" w:ascii="楷体" w:hAnsi="楷体" w:eastAsia="楷体" w:cs="宋体"/>
                <w:spacing w:val="-2"/>
                <w:sz w:val="21"/>
                <w:szCs w:val="21"/>
              </w:rPr>
            </w:pPr>
            <w:r>
              <w:rPr>
                <w:rFonts w:hint="eastAsia" w:ascii="楷体" w:hAnsi="楷体" w:eastAsia="楷体" w:cs="宋体"/>
                <w:spacing w:val="-2"/>
                <w:sz w:val="21"/>
                <w:szCs w:val="21"/>
              </w:rPr>
              <w:t>详见下文“三、销售机构”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4"/>
              <w:kinsoku w:val="0"/>
              <w:overflowPunct w:val="0"/>
              <w:spacing w:before="13"/>
              <w:ind w:left="4"/>
              <w:rPr>
                <w:rFonts w:ascii="楷体" w:hAnsi="楷体" w:eastAsia="楷体" w:cs="宋体"/>
                <w:b/>
                <w:spacing w:val="-2"/>
                <w:sz w:val="21"/>
                <w:szCs w:val="21"/>
              </w:rPr>
            </w:pPr>
            <w:r>
              <w:rPr>
                <w:rFonts w:hint="eastAsia" w:ascii="楷体" w:hAnsi="楷体" w:eastAsia="楷体" w:cs="宋体"/>
                <w:b/>
                <w:spacing w:val="-2"/>
                <w:sz w:val="21"/>
                <w:szCs w:val="21"/>
              </w:rPr>
              <w:t>产品内部风险评级</w:t>
            </w:r>
          </w:p>
        </w:tc>
        <w:tc>
          <w:tcPr>
            <w:tcW w:w="6468" w:type="dxa"/>
            <w:noWrap w:val="0"/>
            <w:vAlign w:val="center"/>
          </w:tcPr>
          <w:p>
            <w:pPr>
              <w:pStyle w:val="34"/>
              <w:kinsoku w:val="0"/>
              <w:overflowPunct w:val="0"/>
              <w:spacing w:before="13"/>
              <w:ind w:left="59" w:right="73" w:rightChars="35"/>
              <w:jc w:val="both"/>
              <w:rPr>
                <w:rFonts w:hint="eastAsia" w:ascii="楷体" w:hAnsi="楷体" w:eastAsia="楷体" w:cs="宋体"/>
                <w:b/>
                <w:spacing w:val="-2"/>
                <w:sz w:val="21"/>
                <w:szCs w:val="21"/>
                <w:u w:val="single"/>
              </w:rPr>
            </w:pPr>
            <w:r>
              <w:rPr>
                <w:rFonts w:hint="eastAsia" w:ascii="楷体" w:hAnsi="楷体" w:eastAsia="楷体" w:cs="宋体"/>
                <w:b/>
                <w:spacing w:val="-2"/>
                <w:sz w:val="21"/>
                <w:szCs w:val="21"/>
                <w:u w:val="single"/>
              </w:rPr>
              <w:t>1、★★二级，</w:t>
            </w:r>
            <w:r>
              <w:rPr>
                <w:rFonts w:hint="eastAsia" w:ascii="楷体" w:hAnsi="楷体" w:eastAsia="楷体" w:cs="宋体"/>
                <w:spacing w:val="-2"/>
                <w:sz w:val="21"/>
                <w:szCs w:val="21"/>
              </w:rPr>
              <w:t>本评级为苏银理财有限责任公司内部评级，由苏银理财根据理财产品的投资组合、同类产品过往业绩和风险状况等因素，对理财产品进行评级，仅供客户参考。</w:t>
            </w:r>
          </w:p>
          <w:p>
            <w:pPr>
              <w:pStyle w:val="34"/>
              <w:kinsoku w:val="0"/>
              <w:overflowPunct w:val="0"/>
              <w:spacing w:before="13"/>
              <w:ind w:left="59" w:right="73" w:rightChars="35"/>
              <w:jc w:val="both"/>
              <w:rPr>
                <w:rFonts w:hint="eastAsia" w:ascii="楷体" w:hAnsi="楷体" w:eastAsia="楷体" w:cs="宋体"/>
                <w:spacing w:val="-2"/>
                <w:sz w:val="21"/>
                <w:szCs w:val="21"/>
              </w:rPr>
            </w:pPr>
            <w:r>
              <w:rPr>
                <w:rFonts w:hint="eastAsia" w:ascii="楷体" w:hAnsi="楷体" w:eastAsia="楷体" w:cs="宋体"/>
                <w:spacing w:val="-2"/>
                <w:sz w:val="21"/>
                <w:szCs w:val="21"/>
              </w:rPr>
              <w:t>2、</w:t>
            </w:r>
            <w:r>
              <w:rPr>
                <w:rFonts w:hint="eastAsia" w:ascii="楷体" w:hAnsi="楷体" w:eastAsia="楷体" w:cs="宋体"/>
                <w:spacing w:val="-2"/>
                <w:sz w:val="21"/>
                <w:szCs w:val="21"/>
                <w:highlight w:val="none"/>
                <w:lang w:val="en-US" w:eastAsia="zh-CN"/>
              </w:rPr>
              <w:t>如</w:t>
            </w:r>
            <w:r>
              <w:rPr>
                <w:rFonts w:hint="eastAsia" w:ascii="楷体" w:hAnsi="楷体" w:eastAsia="楷体" w:cs="宋体"/>
                <w:spacing w:val="-2"/>
                <w:sz w:val="21"/>
                <w:szCs w:val="21"/>
                <w:highlight w:val="none"/>
              </w:rPr>
              <w:t>本产品</w:t>
            </w:r>
            <w:r>
              <w:rPr>
                <w:rFonts w:hint="eastAsia" w:ascii="楷体" w:hAnsi="楷体" w:eastAsia="楷体" w:cs="宋体"/>
                <w:spacing w:val="-2"/>
                <w:sz w:val="21"/>
                <w:szCs w:val="21"/>
                <w:highlight w:val="none"/>
                <w:lang w:val="en-US" w:eastAsia="zh-CN"/>
              </w:rPr>
              <w:t>通过</w:t>
            </w:r>
            <w:r>
              <w:rPr>
                <w:rFonts w:hint="eastAsia" w:ascii="楷体" w:hAnsi="楷体" w:eastAsia="楷体" w:cs="宋体"/>
                <w:spacing w:val="-2"/>
                <w:sz w:val="21"/>
                <w:szCs w:val="21"/>
                <w:highlight w:val="none"/>
              </w:rPr>
              <w:t>代理销售机构渠道</w:t>
            </w:r>
            <w:r>
              <w:rPr>
                <w:rFonts w:hint="eastAsia" w:ascii="楷体" w:hAnsi="楷体" w:eastAsia="楷体" w:cs="宋体"/>
                <w:spacing w:val="-2"/>
                <w:sz w:val="21"/>
                <w:szCs w:val="21"/>
                <w:highlight w:val="none"/>
                <w:lang w:val="en-US" w:eastAsia="zh-CN"/>
              </w:rPr>
              <w:t>销售,</w:t>
            </w:r>
            <w:r>
              <w:rPr>
                <w:rFonts w:hint="eastAsia" w:ascii="楷体" w:hAnsi="楷体" w:eastAsia="楷体" w:cs="宋体"/>
                <w:spacing w:val="-2"/>
                <w:sz w:val="21"/>
                <w:szCs w:val="21"/>
              </w:rPr>
              <w:t>代理销售机构应当根据本机构的方式和方法，依据理财产品的投资组合、同类产品过往业绩和风险状况等因素，独立、审慎地对代理销售的理财产品进行销售评级，并向苏银理财及时、准确提供本机构销售评级结果等信息。</w:t>
            </w:r>
            <w:r>
              <w:rPr>
                <w:rFonts w:ascii="楷体" w:hAnsi="楷体" w:eastAsia="楷体" w:cs="宋体"/>
                <w:spacing w:val="-2"/>
                <w:sz w:val="21"/>
                <w:szCs w:val="21"/>
              </w:rPr>
              <w:t>销售评级与</w:t>
            </w:r>
            <w:r>
              <w:rPr>
                <w:rFonts w:hint="eastAsia" w:ascii="楷体" w:hAnsi="楷体" w:eastAsia="楷体" w:cs="宋体"/>
                <w:spacing w:val="-2"/>
                <w:sz w:val="21"/>
                <w:szCs w:val="21"/>
              </w:rPr>
              <w:t>苏银理财</w:t>
            </w:r>
            <w:r>
              <w:rPr>
                <w:rFonts w:ascii="楷体" w:hAnsi="楷体" w:eastAsia="楷体" w:cs="宋体"/>
                <w:spacing w:val="-2"/>
                <w:sz w:val="21"/>
                <w:szCs w:val="21"/>
              </w:rPr>
              <w:t>产品评级结果不一致的，代理销售机构应当采用对应较高风险等级的评级结果并予以披露</w:t>
            </w:r>
            <w:r>
              <w:rPr>
                <w:rFonts w:hint="eastAsia" w:ascii="楷体" w:hAnsi="楷体" w:eastAsia="楷体" w:cs="宋体"/>
                <w:spacing w:val="-2"/>
                <w:sz w:val="21"/>
                <w:szCs w:val="21"/>
              </w:rPr>
              <w:t>。</w:t>
            </w:r>
          </w:p>
          <w:p>
            <w:pPr>
              <w:pStyle w:val="34"/>
              <w:kinsoku w:val="0"/>
              <w:overflowPunct w:val="0"/>
              <w:spacing w:before="13"/>
              <w:ind w:left="18"/>
              <w:rPr>
                <w:rFonts w:hint="eastAsia" w:ascii="楷体" w:hAnsi="楷体" w:eastAsia="楷体" w:cs="宋体"/>
                <w:b/>
                <w:spacing w:val="-2"/>
                <w:sz w:val="21"/>
                <w:szCs w:val="21"/>
                <w:u w:val="single"/>
              </w:rPr>
            </w:pPr>
            <w:r>
              <w:rPr>
                <w:rFonts w:hint="eastAsia" w:ascii="楷体" w:hAnsi="楷体" w:eastAsia="楷体" w:cs="宋体"/>
                <w:b/>
                <w:spacing w:val="-2"/>
                <w:sz w:val="21"/>
                <w:szCs w:val="21"/>
                <w:u w:val="single"/>
              </w:rPr>
              <w:t>3、</w:t>
            </w:r>
            <w:r>
              <w:rPr>
                <w:rFonts w:hint="eastAsia" w:ascii="楷体" w:hAnsi="楷体" w:eastAsia="楷体" w:cs="宋体"/>
                <w:b/>
                <w:spacing w:val="-2"/>
                <w:sz w:val="21"/>
                <w:szCs w:val="21"/>
                <w:highlight w:val="none"/>
                <w:u w:val="single"/>
                <w:lang w:val="en-US" w:eastAsia="zh-CN"/>
              </w:rPr>
              <w:t>如本</w:t>
            </w:r>
            <w:r>
              <w:rPr>
                <w:rFonts w:hint="eastAsia" w:ascii="楷体" w:hAnsi="楷体" w:eastAsia="楷体" w:cs="宋体"/>
                <w:b/>
                <w:spacing w:val="-2"/>
                <w:sz w:val="21"/>
                <w:szCs w:val="21"/>
                <w:highlight w:val="none"/>
                <w:u w:val="single"/>
              </w:rPr>
              <w:t>产品</w:t>
            </w:r>
            <w:r>
              <w:rPr>
                <w:rFonts w:ascii="楷体" w:hAnsi="楷体" w:eastAsia="楷体" w:cs="宋体"/>
                <w:b/>
                <w:spacing w:val="-2"/>
                <w:sz w:val="21"/>
                <w:szCs w:val="21"/>
                <w:highlight w:val="none"/>
                <w:u w:val="single"/>
              </w:rPr>
              <w:t>通过代理销售机构渠道销售</w:t>
            </w:r>
            <w:r>
              <w:rPr>
                <w:rFonts w:ascii="楷体" w:hAnsi="楷体" w:eastAsia="楷体" w:cs="宋体"/>
                <w:b/>
                <w:spacing w:val="-2"/>
                <w:sz w:val="21"/>
                <w:szCs w:val="21"/>
                <w:u w:val="single"/>
              </w:rPr>
              <w:t>，理财产品评级</w:t>
            </w:r>
            <w:r>
              <w:rPr>
                <w:rFonts w:hint="eastAsia" w:ascii="楷体" w:hAnsi="楷体" w:eastAsia="楷体" w:cs="宋体"/>
                <w:b/>
                <w:spacing w:val="-2"/>
                <w:sz w:val="21"/>
                <w:szCs w:val="21"/>
                <w:u w:val="single"/>
              </w:rPr>
              <w:t>以</w:t>
            </w:r>
            <w:r>
              <w:rPr>
                <w:rFonts w:ascii="楷体" w:hAnsi="楷体" w:eastAsia="楷体" w:cs="宋体"/>
                <w:b/>
                <w:spacing w:val="-2"/>
                <w:sz w:val="21"/>
                <w:szCs w:val="21"/>
                <w:u w:val="single"/>
              </w:rPr>
              <w:t>代理销售机构最终披露的评级结果为准</w:t>
            </w:r>
            <w:r>
              <w:rPr>
                <w:rFonts w:hint="eastAsia" w:ascii="楷体" w:hAnsi="楷体" w:eastAsia="楷体" w:cs="宋体"/>
                <w:b/>
                <w:spacing w:val="-2"/>
                <w:sz w:val="21"/>
                <w:szCs w:val="21"/>
                <w:u w:val="singl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4"/>
              <w:kinsoku w:val="0"/>
              <w:overflowPunct w:val="0"/>
              <w:spacing w:before="12"/>
              <w:ind w:left="2"/>
              <w:rPr>
                <w:rFonts w:ascii="楷体" w:hAnsi="楷体" w:eastAsia="楷体" w:cs="宋体"/>
                <w:b/>
                <w:spacing w:val="-2"/>
                <w:sz w:val="21"/>
                <w:szCs w:val="21"/>
              </w:rPr>
            </w:pPr>
            <w:r>
              <w:rPr>
                <w:rFonts w:hint="eastAsia" w:ascii="楷体" w:hAnsi="楷体" w:eastAsia="楷体" w:cs="宋体"/>
                <w:b/>
                <w:spacing w:val="-2"/>
                <w:sz w:val="21"/>
                <w:szCs w:val="21"/>
              </w:rPr>
              <w:t>收益类型</w:t>
            </w:r>
          </w:p>
        </w:tc>
        <w:tc>
          <w:tcPr>
            <w:tcW w:w="6468" w:type="dxa"/>
            <w:noWrap w:val="0"/>
            <w:vAlign w:val="center"/>
          </w:tcPr>
          <w:p>
            <w:pPr>
              <w:pStyle w:val="34"/>
              <w:kinsoku w:val="0"/>
              <w:overflowPunct w:val="0"/>
              <w:spacing w:before="12"/>
              <w:ind w:left="9"/>
              <w:rPr>
                <w:rFonts w:ascii="楷体" w:hAnsi="楷体" w:eastAsia="楷体" w:cs="宋体"/>
                <w:spacing w:val="-2"/>
                <w:sz w:val="21"/>
                <w:szCs w:val="21"/>
              </w:rPr>
            </w:pPr>
            <w:r>
              <w:rPr>
                <w:rFonts w:hint="eastAsia" w:ascii="楷体" w:hAnsi="楷体" w:eastAsia="楷体" w:cs="宋体"/>
                <w:spacing w:val="-2"/>
                <w:sz w:val="21"/>
                <w:szCs w:val="21"/>
              </w:rPr>
              <w:t>净值型（非保本浮动收益）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4"/>
              <w:kinsoku w:val="0"/>
              <w:overflowPunct w:val="0"/>
              <w:spacing w:before="13"/>
              <w:rPr>
                <w:rFonts w:hint="eastAsia" w:ascii="楷体" w:hAnsi="楷体" w:eastAsia="楷体" w:cs="宋体"/>
                <w:b/>
                <w:spacing w:val="-2"/>
                <w:sz w:val="21"/>
                <w:szCs w:val="21"/>
              </w:rPr>
            </w:pPr>
            <w:r>
              <w:rPr>
                <w:rFonts w:hint="eastAsia" w:ascii="楷体" w:hAnsi="楷体" w:eastAsia="楷体" w:cs="宋体"/>
                <w:b/>
                <w:spacing w:val="-2"/>
                <w:sz w:val="21"/>
                <w:szCs w:val="21"/>
              </w:rPr>
              <w:t>产品类型</w:t>
            </w:r>
          </w:p>
        </w:tc>
        <w:tc>
          <w:tcPr>
            <w:tcW w:w="6468" w:type="dxa"/>
            <w:noWrap w:val="0"/>
            <w:vAlign w:val="center"/>
          </w:tcPr>
          <w:p>
            <w:pPr>
              <w:pStyle w:val="34"/>
              <w:kinsoku w:val="0"/>
              <w:overflowPunct w:val="0"/>
              <w:spacing w:before="12"/>
              <w:ind w:left="9"/>
              <w:rPr>
                <w:rFonts w:hint="eastAsia" w:ascii="楷体" w:hAnsi="楷体" w:eastAsia="楷体" w:cs="宋体"/>
                <w:b/>
                <w:spacing w:val="-2"/>
                <w:sz w:val="21"/>
                <w:szCs w:val="21"/>
                <w:u w:val="single"/>
              </w:rPr>
            </w:pPr>
            <w:r>
              <w:rPr>
                <w:rFonts w:hint="eastAsia" w:ascii="楷体" w:hAnsi="楷体" w:eastAsia="楷体" w:cs="宋体"/>
                <w:b/>
                <w:spacing w:val="-2"/>
                <w:sz w:val="21"/>
                <w:szCs w:val="21"/>
                <w:u w:val="single"/>
              </w:rPr>
              <w:t>固定收益类、公募、开放式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4"/>
              <w:kinsoku w:val="0"/>
              <w:overflowPunct w:val="0"/>
              <w:spacing w:before="13"/>
              <w:rPr>
                <w:rFonts w:ascii="楷体" w:hAnsi="楷体" w:eastAsia="楷体" w:cs="宋体"/>
                <w:b/>
                <w:spacing w:val="-2"/>
                <w:sz w:val="21"/>
                <w:szCs w:val="21"/>
              </w:rPr>
            </w:pPr>
            <w:r>
              <w:rPr>
                <w:rFonts w:hint="eastAsia" w:ascii="楷体" w:hAnsi="楷体" w:eastAsia="楷体" w:cs="宋体"/>
                <w:b/>
                <w:spacing w:val="-2"/>
                <w:sz w:val="21"/>
                <w:szCs w:val="21"/>
              </w:rPr>
              <w:t>销售对象</w:t>
            </w:r>
          </w:p>
        </w:tc>
        <w:tc>
          <w:tcPr>
            <w:tcW w:w="6468" w:type="dxa"/>
            <w:noWrap w:val="0"/>
            <w:vAlign w:val="center"/>
          </w:tcPr>
          <w:p>
            <w:pPr>
              <w:pStyle w:val="34"/>
              <w:kinsoku w:val="0"/>
              <w:overflowPunct w:val="0"/>
              <w:spacing w:before="12"/>
              <w:ind w:left="3"/>
              <w:rPr>
                <w:rFonts w:hint="eastAsia" w:ascii="楷体" w:hAnsi="楷体" w:eastAsia="楷体" w:cs="宋体"/>
                <w:spacing w:val="-2"/>
                <w:sz w:val="21"/>
                <w:szCs w:val="21"/>
                <w:lang w:eastAsia="zh-CN"/>
              </w:rPr>
            </w:pPr>
            <w:r>
              <w:rPr>
                <w:rFonts w:hint="eastAsia" w:ascii="楷体" w:hAnsi="楷体" w:eastAsia="楷体" w:cs="宋体"/>
                <w:spacing w:val="-2"/>
                <w:sz w:val="21"/>
                <w:szCs w:val="21"/>
              </w:rPr>
              <w:t>芙蓉锦程·优选份额面向个人和机构投资者销售</w:t>
            </w:r>
            <w:r>
              <w:rPr>
                <w:rFonts w:hint="eastAsia" w:ascii="楷体" w:hAnsi="楷体" w:eastAsia="楷体" w:cs="宋体"/>
                <w:spacing w:val="-2"/>
                <w:sz w:val="21"/>
                <w:szCs w:val="21"/>
                <w:lang w:val="en-US" w:eastAsia="zh-CN"/>
              </w:rPr>
              <w:t>;</w:t>
            </w:r>
          </w:p>
          <w:p>
            <w:pPr>
              <w:pStyle w:val="34"/>
              <w:kinsoku w:val="0"/>
              <w:overflowPunct w:val="0"/>
              <w:spacing w:before="12"/>
              <w:ind w:left="3"/>
              <w:rPr>
                <w:rFonts w:hint="eastAsia" w:ascii="楷体" w:hAnsi="楷体" w:eastAsia="楷体" w:cs="宋体"/>
                <w:spacing w:val="-2"/>
                <w:sz w:val="21"/>
                <w:szCs w:val="21"/>
                <w:lang w:val="en-US" w:eastAsia="zh-CN"/>
              </w:rPr>
            </w:pPr>
            <w:r>
              <w:rPr>
                <w:rFonts w:hint="eastAsia" w:ascii="楷体" w:hAnsi="楷体" w:eastAsia="楷体" w:cs="宋体"/>
                <w:spacing w:val="-2"/>
                <w:sz w:val="21"/>
                <w:szCs w:val="21"/>
                <w:lang w:val="en-US" w:eastAsia="zh-CN"/>
              </w:rPr>
              <w:t>Z</w:t>
            </w:r>
            <w:r>
              <w:rPr>
                <w:rFonts w:hint="eastAsia" w:ascii="楷体" w:hAnsi="楷体" w:eastAsia="楷体" w:cs="宋体"/>
                <w:spacing w:val="-2"/>
                <w:sz w:val="21"/>
                <w:szCs w:val="21"/>
              </w:rPr>
              <w:t>份额面向个人和机构投资者销售</w:t>
            </w:r>
            <w:r>
              <w:rPr>
                <w:rFonts w:hint="eastAsia" w:ascii="楷体" w:hAnsi="楷体" w:eastAsia="楷体" w:cs="宋体"/>
                <w:spacing w:val="-2"/>
                <w:sz w:val="21"/>
                <w:szCs w:val="21"/>
                <w:lang w:val="en-US" w:eastAsia="zh-CN"/>
              </w:rPr>
              <w:t>;</w:t>
            </w:r>
          </w:p>
          <w:p>
            <w:pPr>
              <w:pStyle w:val="34"/>
              <w:kinsoku w:val="0"/>
              <w:overflowPunct w:val="0"/>
              <w:spacing w:before="12"/>
              <w:ind w:left="3"/>
              <w:rPr>
                <w:rFonts w:hint="eastAsia" w:ascii="楷体" w:hAnsi="楷体" w:eastAsia="楷体" w:cs="宋体"/>
                <w:spacing w:val="-2"/>
                <w:sz w:val="21"/>
                <w:szCs w:val="21"/>
                <w:lang w:eastAsia="zh-CN"/>
              </w:rPr>
            </w:pPr>
            <w:r>
              <w:rPr>
                <w:rFonts w:hint="eastAsia" w:ascii="楷体" w:hAnsi="楷体" w:eastAsia="楷体" w:cs="宋体"/>
                <w:spacing w:val="-2"/>
                <w:sz w:val="21"/>
                <w:szCs w:val="21"/>
                <w:lang w:val="en-US" w:eastAsia="zh-CN"/>
              </w:rPr>
              <w:t>Q</w:t>
            </w:r>
            <w:r>
              <w:rPr>
                <w:rFonts w:hint="eastAsia" w:ascii="楷体" w:hAnsi="楷体" w:eastAsia="楷体" w:cs="宋体"/>
                <w:spacing w:val="-2"/>
                <w:sz w:val="21"/>
                <w:szCs w:val="21"/>
              </w:rPr>
              <w:t>份额面向个人和机构投资者销售</w:t>
            </w:r>
            <w:r>
              <w:rPr>
                <w:rFonts w:hint="eastAsia" w:ascii="楷体" w:hAnsi="楷体" w:eastAsia="楷体" w:cs="宋体"/>
                <w:spacing w:val="-2"/>
                <w:sz w:val="21"/>
                <w:szCs w:val="21"/>
                <w:lang w:val="en-US" w:eastAsia="zh-CN"/>
              </w:rPr>
              <w:t>;</w:t>
            </w:r>
          </w:p>
          <w:p>
            <w:pPr>
              <w:pStyle w:val="34"/>
              <w:kinsoku w:val="0"/>
              <w:overflowPunct w:val="0"/>
              <w:spacing w:before="12"/>
              <w:ind w:left="3"/>
              <w:rPr>
                <w:rFonts w:hint="eastAsia" w:ascii="楷体" w:hAnsi="楷体" w:eastAsia="楷体" w:cs="宋体"/>
                <w:spacing w:val="-2"/>
                <w:sz w:val="21"/>
                <w:szCs w:val="21"/>
                <w:lang w:eastAsia="zh-CN"/>
              </w:rPr>
            </w:pPr>
            <w:r>
              <w:rPr>
                <w:rFonts w:hint="eastAsia" w:ascii="楷体" w:hAnsi="楷体" w:eastAsia="楷体" w:cs="宋体"/>
                <w:spacing w:val="-2"/>
                <w:sz w:val="21"/>
                <w:szCs w:val="21"/>
                <w:lang w:val="en-US" w:eastAsia="zh-CN"/>
              </w:rPr>
              <w:t>JS</w:t>
            </w:r>
            <w:r>
              <w:rPr>
                <w:rFonts w:hint="eastAsia" w:ascii="楷体" w:hAnsi="楷体" w:eastAsia="楷体" w:cs="宋体"/>
                <w:spacing w:val="-2"/>
                <w:sz w:val="21"/>
                <w:szCs w:val="21"/>
              </w:rPr>
              <w:t>份额面向个人和机构投资者销售</w:t>
            </w:r>
            <w:r>
              <w:rPr>
                <w:rFonts w:hint="eastAsia" w:ascii="楷体" w:hAnsi="楷体" w:eastAsia="楷体" w:cs="宋体"/>
                <w:spacing w:val="-2"/>
                <w:sz w:val="21"/>
                <w:szCs w:val="21"/>
                <w:lang w:val="en-US" w:eastAsia="zh-CN"/>
              </w:rPr>
              <w:t>;</w:t>
            </w:r>
          </w:p>
          <w:p>
            <w:pPr>
              <w:pStyle w:val="34"/>
              <w:kinsoku w:val="0"/>
              <w:overflowPunct w:val="0"/>
              <w:spacing w:before="12"/>
              <w:ind w:left="3"/>
              <w:rPr>
                <w:rFonts w:hint="eastAsia" w:ascii="楷体" w:hAnsi="楷体" w:eastAsia="楷体" w:cs="宋体"/>
                <w:spacing w:val="-2"/>
                <w:sz w:val="21"/>
                <w:szCs w:val="21"/>
                <w:lang w:eastAsia="zh-CN"/>
              </w:rPr>
            </w:pPr>
            <w:r>
              <w:rPr>
                <w:rFonts w:hint="eastAsia" w:ascii="楷体" w:hAnsi="楷体" w:eastAsia="楷体" w:cs="宋体"/>
                <w:spacing w:val="-2"/>
                <w:sz w:val="21"/>
                <w:szCs w:val="21"/>
              </w:rPr>
              <w:t>芙蓉锦程·优选</w:t>
            </w:r>
            <w:r>
              <w:rPr>
                <w:rFonts w:hint="eastAsia" w:ascii="楷体" w:hAnsi="楷体" w:eastAsia="楷体" w:cs="宋体"/>
                <w:spacing w:val="-2"/>
                <w:sz w:val="21"/>
                <w:szCs w:val="21"/>
                <w:lang w:val="en-US" w:eastAsia="zh-CN"/>
              </w:rPr>
              <w:t>-尊享款</w:t>
            </w:r>
            <w:r>
              <w:rPr>
                <w:rFonts w:hint="eastAsia" w:ascii="楷体" w:hAnsi="楷体" w:eastAsia="楷体" w:cs="宋体"/>
                <w:spacing w:val="-2"/>
                <w:sz w:val="21"/>
                <w:szCs w:val="21"/>
              </w:rPr>
              <w:t>份额面向个人和机构投资者销售</w:t>
            </w:r>
            <w:r>
              <w:rPr>
                <w:rFonts w:hint="eastAsia" w:ascii="楷体" w:hAnsi="楷体" w:eastAsia="楷体" w:cs="宋体"/>
                <w:spacing w:val="-2"/>
                <w:sz w:val="21"/>
                <w:szCs w:val="21"/>
                <w:lang w:val="en-US" w:eastAsia="zh-CN"/>
              </w:rPr>
              <w:t>;</w:t>
            </w:r>
          </w:p>
          <w:p>
            <w:pPr>
              <w:pStyle w:val="34"/>
              <w:kinsoku w:val="0"/>
              <w:overflowPunct w:val="0"/>
              <w:spacing w:before="12"/>
              <w:ind w:left="3"/>
              <w:rPr>
                <w:rFonts w:hint="eastAsia" w:ascii="楷体" w:hAnsi="楷体" w:eastAsia="楷体" w:cs="宋体"/>
                <w:spacing w:val="-2"/>
                <w:sz w:val="21"/>
                <w:szCs w:val="21"/>
                <w:lang w:eastAsia="zh-CN"/>
              </w:rPr>
            </w:pPr>
            <w:r>
              <w:rPr>
                <w:rFonts w:hint="eastAsia" w:ascii="楷体" w:hAnsi="楷体" w:eastAsia="楷体" w:cs="宋体"/>
                <w:spacing w:val="-2"/>
                <w:sz w:val="21"/>
                <w:szCs w:val="21"/>
                <w:lang w:val="en-US" w:eastAsia="zh-CN"/>
              </w:rPr>
              <w:t>北部湾银行专属</w:t>
            </w:r>
            <w:r>
              <w:rPr>
                <w:rFonts w:hint="eastAsia" w:ascii="楷体" w:hAnsi="楷体" w:eastAsia="楷体" w:cs="宋体"/>
                <w:spacing w:val="-2"/>
                <w:sz w:val="21"/>
                <w:szCs w:val="21"/>
              </w:rPr>
              <w:t>份额面向个人和机构投资者销售</w:t>
            </w:r>
            <w:r>
              <w:rPr>
                <w:rFonts w:hint="eastAsia" w:ascii="楷体" w:hAnsi="楷体" w:eastAsia="楷体" w:cs="宋体"/>
                <w:spacing w:val="-2"/>
                <w:sz w:val="21"/>
                <w:szCs w:val="21"/>
                <w:lang w:val="en-US" w:eastAsia="zh-CN"/>
              </w:rPr>
              <w:t>;</w:t>
            </w:r>
          </w:p>
          <w:p>
            <w:pPr>
              <w:pStyle w:val="34"/>
              <w:kinsoku w:val="0"/>
              <w:overflowPunct w:val="0"/>
              <w:spacing w:before="12"/>
              <w:ind w:left="3"/>
              <w:rPr>
                <w:rFonts w:hint="eastAsia" w:ascii="楷体" w:hAnsi="楷体" w:eastAsia="楷体" w:cs="宋体"/>
                <w:spacing w:val="-2"/>
                <w:sz w:val="21"/>
                <w:szCs w:val="21"/>
                <w:lang w:val="en-US" w:eastAsia="zh-CN"/>
              </w:rPr>
            </w:pPr>
            <w:r>
              <w:rPr>
                <w:rFonts w:hint="eastAsia" w:ascii="楷体" w:hAnsi="楷体" w:eastAsia="楷体" w:cs="宋体"/>
                <w:spacing w:val="-2"/>
                <w:sz w:val="21"/>
                <w:szCs w:val="21"/>
                <w:lang w:val="en-US" w:eastAsia="zh-CN"/>
              </w:rPr>
              <w:t>P</w:t>
            </w:r>
            <w:r>
              <w:rPr>
                <w:rFonts w:hint="eastAsia" w:ascii="楷体" w:hAnsi="楷体" w:eastAsia="楷体" w:cs="宋体"/>
                <w:spacing w:val="-2"/>
                <w:sz w:val="21"/>
                <w:szCs w:val="21"/>
              </w:rPr>
              <w:t>份额面向个人和机构投资者销售</w:t>
            </w:r>
            <w:r>
              <w:rPr>
                <w:rFonts w:hint="eastAsia" w:ascii="楷体" w:hAnsi="楷体" w:eastAsia="楷体" w:cs="宋体"/>
                <w:spacing w:val="-2"/>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4"/>
              <w:kinsoku w:val="0"/>
              <w:overflowPunct w:val="0"/>
              <w:spacing w:before="12"/>
              <w:ind w:left="2"/>
              <w:rPr>
                <w:rFonts w:ascii="楷体" w:hAnsi="楷体" w:eastAsia="楷体" w:cs="宋体"/>
                <w:b/>
                <w:spacing w:val="-2"/>
                <w:sz w:val="21"/>
                <w:szCs w:val="21"/>
              </w:rPr>
            </w:pPr>
            <w:r>
              <w:rPr>
                <w:rFonts w:hint="eastAsia" w:ascii="楷体" w:hAnsi="楷体" w:eastAsia="楷体" w:cs="宋体"/>
                <w:b/>
                <w:spacing w:val="-2"/>
                <w:sz w:val="21"/>
                <w:szCs w:val="21"/>
              </w:rPr>
              <w:t>购买起点</w:t>
            </w:r>
            <w:r>
              <w:rPr>
                <w:rFonts w:ascii="楷体" w:hAnsi="楷体" w:eastAsia="楷体" w:cs="宋体"/>
                <w:b/>
                <w:spacing w:val="-2"/>
                <w:sz w:val="21"/>
                <w:szCs w:val="21"/>
              </w:rPr>
              <w:t>/</w:t>
            </w:r>
            <w:r>
              <w:rPr>
                <w:rFonts w:hint="eastAsia" w:ascii="楷体" w:hAnsi="楷体" w:eastAsia="楷体" w:cs="宋体"/>
                <w:b/>
                <w:spacing w:val="-2"/>
                <w:sz w:val="21"/>
                <w:szCs w:val="21"/>
              </w:rPr>
              <w:t>追加金额</w:t>
            </w:r>
          </w:p>
        </w:tc>
        <w:tc>
          <w:tcPr>
            <w:tcW w:w="6468" w:type="dxa"/>
            <w:noWrap w:val="0"/>
            <w:vAlign w:val="center"/>
          </w:tcPr>
          <w:p>
            <w:pPr>
              <w:jc w:val="left"/>
              <w:rPr>
                <w:rFonts w:hint="eastAsia" w:ascii="楷体" w:hAnsi="楷体" w:eastAsia="楷体"/>
                <w:szCs w:val="21"/>
              </w:rPr>
            </w:pPr>
            <w:r>
              <w:rPr>
                <w:rFonts w:hint="eastAsia" w:ascii="楷体" w:hAnsi="楷体" w:eastAsia="楷体" w:cs="宋体"/>
                <w:spacing w:val="-2"/>
                <w:sz w:val="21"/>
                <w:szCs w:val="21"/>
              </w:rPr>
              <w:t>芙蓉锦程·优选份额</w:t>
            </w:r>
            <w:r>
              <w:rPr>
                <w:rFonts w:hint="eastAsia" w:ascii="楷体" w:hAnsi="楷体" w:eastAsia="楷体"/>
                <w:szCs w:val="21"/>
              </w:rPr>
              <w:t>购买起点金额为1元，追加金额为1元的整数倍；</w:t>
            </w:r>
          </w:p>
          <w:p>
            <w:pPr>
              <w:jc w:val="left"/>
              <w:rPr>
                <w:rFonts w:hint="eastAsia" w:ascii="楷体" w:hAnsi="楷体" w:eastAsia="楷体"/>
                <w:szCs w:val="21"/>
              </w:rPr>
            </w:pPr>
            <w:r>
              <w:rPr>
                <w:rFonts w:hint="eastAsia" w:ascii="楷体" w:hAnsi="楷体" w:eastAsia="楷体" w:cs="宋体"/>
                <w:spacing w:val="-2"/>
                <w:szCs w:val="21"/>
                <w:lang w:val="en-US" w:eastAsia="zh-CN"/>
              </w:rPr>
              <w:t>Z</w:t>
            </w:r>
            <w:r>
              <w:rPr>
                <w:rFonts w:hint="eastAsia" w:ascii="楷体" w:hAnsi="楷体" w:eastAsia="楷体" w:cs="宋体"/>
                <w:spacing w:val="-2"/>
                <w:szCs w:val="21"/>
              </w:rPr>
              <w:t>份额</w:t>
            </w:r>
            <w:r>
              <w:rPr>
                <w:rFonts w:hint="eastAsia" w:ascii="楷体" w:hAnsi="楷体" w:eastAsia="楷体"/>
                <w:szCs w:val="21"/>
              </w:rPr>
              <w:t>购买起点金额为1元，追加金额为1元的整数倍；</w:t>
            </w:r>
          </w:p>
          <w:p>
            <w:pPr>
              <w:jc w:val="left"/>
              <w:rPr>
                <w:rFonts w:hint="eastAsia" w:ascii="楷体" w:hAnsi="楷体" w:eastAsia="楷体"/>
                <w:szCs w:val="21"/>
                <w:lang w:eastAsia="zh-CN"/>
              </w:rPr>
            </w:pPr>
            <w:r>
              <w:rPr>
                <w:rFonts w:hint="eastAsia" w:ascii="楷体" w:hAnsi="楷体" w:eastAsia="楷体" w:cs="宋体"/>
                <w:spacing w:val="-2"/>
                <w:szCs w:val="21"/>
                <w:lang w:val="en-US" w:eastAsia="zh-CN"/>
              </w:rPr>
              <w:t>Q</w:t>
            </w:r>
            <w:r>
              <w:rPr>
                <w:rFonts w:hint="eastAsia" w:ascii="楷体" w:hAnsi="楷体" w:eastAsia="楷体" w:cs="宋体"/>
                <w:spacing w:val="-2"/>
                <w:szCs w:val="21"/>
              </w:rPr>
              <w:t>份额</w:t>
            </w:r>
            <w:r>
              <w:rPr>
                <w:rFonts w:hint="eastAsia" w:ascii="楷体" w:hAnsi="楷体" w:eastAsia="楷体"/>
                <w:szCs w:val="21"/>
              </w:rPr>
              <w:t>购买起点金额为1元，追加金额为1元的整数倍；</w:t>
            </w:r>
          </w:p>
          <w:p>
            <w:pPr>
              <w:jc w:val="left"/>
              <w:rPr>
                <w:rFonts w:hint="eastAsia" w:ascii="楷体" w:hAnsi="楷体" w:eastAsia="楷体"/>
                <w:szCs w:val="21"/>
                <w:lang w:eastAsia="zh-CN"/>
              </w:rPr>
            </w:pPr>
            <w:r>
              <w:rPr>
                <w:rFonts w:hint="eastAsia" w:ascii="楷体" w:hAnsi="楷体" w:eastAsia="楷体" w:cs="宋体"/>
                <w:spacing w:val="-2"/>
                <w:szCs w:val="21"/>
                <w:lang w:val="en-US" w:eastAsia="zh-CN"/>
              </w:rPr>
              <w:t>JS</w:t>
            </w:r>
            <w:r>
              <w:rPr>
                <w:rFonts w:hint="eastAsia" w:ascii="楷体" w:hAnsi="楷体" w:eastAsia="楷体" w:cs="宋体"/>
                <w:spacing w:val="-2"/>
                <w:szCs w:val="21"/>
              </w:rPr>
              <w:t>份额</w:t>
            </w:r>
            <w:r>
              <w:rPr>
                <w:rFonts w:hint="eastAsia" w:ascii="楷体" w:hAnsi="楷体" w:eastAsia="楷体"/>
                <w:szCs w:val="21"/>
              </w:rPr>
              <w:t>购买起点金额为1元，追加金额为1元的整数倍；</w:t>
            </w:r>
          </w:p>
          <w:p>
            <w:pPr>
              <w:jc w:val="left"/>
              <w:rPr>
                <w:rFonts w:hint="eastAsia" w:ascii="楷体" w:hAnsi="楷体" w:eastAsia="楷体"/>
                <w:szCs w:val="21"/>
                <w:lang w:eastAsia="zh-CN"/>
              </w:rPr>
            </w:pPr>
            <w:r>
              <w:rPr>
                <w:rFonts w:hint="eastAsia" w:ascii="楷体" w:hAnsi="楷体" w:eastAsia="楷体" w:cs="宋体"/>
                <w:spacing w:val="-2"/>
                <w:sz w:val="21"/>
                <w:szCs w:val="21"/>
              </w:rPr>
              <w:t>芙蓉锦程·优选</w:t>
            </w:r>
            <w:r>
              <w:rPr>
                <w:rFonts w:hint="eastAsia" w:ascii="楷体" w:hAnsi="楷体" w:eastAsia="楷体" w:cs="宋体"/>
                <w:spacing w:val="-2"/>
                <w:sz w:val="21"/>
                <w:szCs w:val="21"/>
                <w:lang w:val="en-US" w:eastAsia="zh-CN"/>
              </w:rPr>
              <w:t>-尊享款</w:t>
            </w:r>
            <w:r>
              <w:rPr>
                <w:rFonts w:hint="eastAsia" w:ascii="楷体" w:hAnsi="楷体" w:eastAsia="楷体" w:cs="宋体"/>
                <w:spacing w:val="-2"/>
                <w:sz w:val="21"/>
                <w:szCs w:val="21"/>
              </w:rPr>
              <w:t>份额</w:t>
            </w:r>
            <w:r>
              <w:rPr>
                <w:rFonts w:hint="eastAsia" w:ascii="楷体" w:hAnsi="楷体" w:eastAsia="楷体"/>
                <w:szCs w:val="21"/>
              </w:rPr>
              <w:t>购买起点金额为1元，追加金额为1元的整数倍；</w:t>
            </w:r>
          </w:p>
          <w:p>
            <w:pPr>
              <w:jc w:val="left"/>
              <w:rPr>
                <w:rFonts w:hint="eastAsia" w:ascii="楷体" w:hAnsi="楷体" w:eastAsia="楷体"/>
                <w:szCs w:val="21"/>
                <w:lang w:eastAsia="zh-CN"/>
              </w:rPr>
            </w:pPr>
            <w:r>
              <w:rPr>
                <w:rFonts w:hint="eastAsia" w:ascii="楷体" w:hAnsi="楷体" w:eastAsia="楷体" w:cs="宋体"/>
                <w:spacing w:val="-2"/>
                <w:sz w:val="21"/>
                <w:szCs w:val="21"/>
                <w:lang w:val="en-US" w:eastAsia="zh-CN"/>
              </w:rPr>
              <w:t>北部湾银行专属</w:t>
            </w:r>
            <w:r>
              <w:rPr>
                <w:rFonts w:hint="eastAsia" w:ascii="楷体" w:hAnsi="楷体" w:eastAsia="楷体" w:cs="宋体"/>
                <w:spacing w:val="-2"/>
                <w:szCs w:val="21"/>
              </w:rPr>
              <w:t>份额</w:t>
            </w:r>
            <w:r>
              <w:rPr>
                <w:rFonts w:hint="eastAsia" w:ascii="楷体" w:hAnsi="楷体" w:eastAsia="楷体"/>
                <w:szCs w:val="21"/>
              </w:rPr>
              <w:t>购买起点金额为</w:t>
            </w:r>
            <w:r>
              <w:rPr>
                <w:rFonts w:hint="eastAsia" w:ascii="楷体" w:hAnsi="楷体" w:eastAsia="楷体"/>
                <w:szCs w:val="21"/>
                <w:lang w:val="en-US" w:eastAsia="zh-CN"/>
              </w:rPr>
              <w:t>0.01</w:t>
            </w:r>
            <w:r>
              <w:rPr>
                <w:rFonts w:hint="eastAsia" w:ascii="楷体" w:hAnsi="楷体" w:eastAsia="楷体"/>
                <w:szCs w:val="21"/>
              </w:rPr>
              <w:t>元，追加金额为</w:t>
            </w:r>
            <w:r>
              <w:rPr>
                <w:rFonts w:hint="eastAsia" w:ascii="楷体" w:hAnsi="楷体" w:eastAsia="楷体"/>
                <w:szCs w:val="21"/>
                <w:lang w:val="en-US" w:eastAsia="zh-CN"/>
              </w:rPr>
              <w:t>0.01</w:t>
            </w:r>
            <w:r>
              <w:rPr>
                <w:rFonts w:hint="eastAsia" w:ascii="楷体" w:hAnsi="楷体" w:eastAsia="楷体"/>
                <w:szCs w:val="21"/>
              </w:rPr>
              <w:t>元的整数倍；</w:t>
            </w:r>
          </w:p>
          <w:p>
            <w:pPr>
              <w:jc w:val="left"/>
              <w:rPr>
                <w:rFonts w:hint="eastAsia" w:ascii="楷体" w:hAnsi="楷体" w:eastAsia="楷体"/>
                <w:szCs w:val="21"/>
                <w:lang w:val="en-US" w:eastAsia="zh-CN"/>
              </w:rPr>
            </w:pPr>
            <w:r>
              <w:rPr>
                <w:rFonts w:hint="eastAsia" w:ascii="楷体" w:hAnsi="楷体" w:eastAsia="楷体" w:cs="宋体"/>
                <w:spacing w:val="-2"/>
                <w:szCs w:val="21"/>
                <w:lang w:val="en-US" w:eastAsia="zh-CN"/>
              </w:rPr>
              <w:t>P</w:t>
            </w:r>
            <w:r>
              <w:rPr>
                <w:rFonts w:hint="eastAsia" w:ascii="楷体" w:hAnsi="楷体" w:eastAsia="楷体" w:cs="宋体"/>
                <w:spacing w:val="-2"/>
                <w:szCs w:val="21"/>
              </w:rPr>
              <w:t>份额</w:t>
            </w:r>
            <w:r>
              <w:rPr>
                <w:rFonts w:hint="eastAsia" w:ascii="楷体" w:hAnsi="楷体" w:eastAsia="楷体"/>
                <w:szCs w:val="21"/>
              </w:rPr>
              <w:t>购买起点金额为</w:t>
            </w:r>
            <w:r>
              <w:rPr>
                <w:rFonts w:hint="eastAsia" w:ascii="楷体" w:hAnsi="楷体" w:eastAsia="楷体"/>
                <w:szCs w:val="21"/>
                <w:lang w:val="en-US" w:eastAsia="zh-CN"/>
              </w:rPr>
              <w:t>20万</w:t>
            </w:r>
            <w:r>
              <w:rPr>
                <w:rFonts w:hint="eastAsia" w:ascii="楷体" w:hAnsi="楷体" w:eastAsia="楷体"/>
                <w:szCs w:val="21"/>
              </w:rPr>
              <w:t>元，追加金额为1</w:t>
            </w:r>
            <w:r>
              <w:rPr>
                <w:rFonts w:hint="eastAsia" w:ascii="楷体" w:hAnsi="楷体" w:eastAsia="楷体"/>
                <w:szCs w:val="21"/>
                <w:lang w:val="en-US" w:eastAsia="zh-CN"/>
              </w:rPr>
              <w:t>万</w:t>
            </w:r>
            <w:r>
              <w:rPr>
                <w:rFonts w:hint="eastAsia" w:ascii="楷体" w:hAnsi="楷体" w:eastAsia="楷体"/>
                <w:szCs w:val="21"/>
              </w:rPr>
              <w:t>元的整数倍</w:t>
            </w:r>
            <w:r>
              <w:rPr>
                <w:rFonts w:hint="eastAsia" w:ascii="楷体" w:hAnsi="楷体" w:eastAsia="楷体"/>
                <w:szCs w:val="21"/>
                <w:lang w:eastAsia="zh-CN"/>
              </w:rPr>
              <w:t>。</w:t>
            </w:r>
          </w:p>
          <w:p>
            <w:pPr>
              <w:jc w:val="left"/>
              <w:rPr>
                <w:rFonts w:hint="eastAsia" w:ascii="楷体" w:hAnsi="楷体" w:eastAsia="楷体"/>
                <w:szCs w:val="21"/>
              </w:rPr>
            </w:pPr>
            <w:r>
              <w:rPr>
                <w:rFonts w:hint="eastAsia" w:ascii="楷体" w:hAnsi="楷体" w:eastAsia="楷体"/>
                <w:szCs w:val="21"/>
                <w:lang w:val="en-US" w:eastAsia="zh-CN"/>
              </w:rPr>
              <w:t>购买</w:t>
            </w:r>
            <w:r>
              <w:rPr>
                <w:rFonts w:hint="eastAsia" w:ascii="楷体" w:hAnsi="楷体" w:eastAsia="楷体"/>
                <w:szCs w:val="21"/>
              </w:rPr>
              <w:t>起点/追加金额具体以</w:t>
            </w:r>
            <w:r>
              <w:rPr>
                <w:rFonts w:hint="eastAsia" w:ascii="楷体" w:hAnsi="楷体" w:eastAsia="楷体"/>
                <w:szCs w:val="21"/>
                <w:lang w:val="en-US" w:eastAsia="zh-CN"/>
              </w:rPr>
              <w:t>销售</w:t>
            </w:r>
            <w:r>
              <w:rPr>
                <w:rFonts w:hint="eastAsia" w:ascii="楷体" w:hAnsi="楷体" w:eastAsia="楷体"/>
                <w:szCs w:val="21"/>
              </w:rPr>
              <w:t>机构设置为准。认购资金的清算和认购份额的计算详见下文“八、产品认购”。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4"/>
              <w:kinsoku w:val="0"/>
              <w:overflowPunct w:val="0"/>
              <w:spacing w:before="13"/>
              <w:ind w:left="83" w:right="65" w:rightChars="31"/>
              <w:jc w:val="both"/>
              <w:rPr>
                <w:rFonts w:hint="eastAsia" w:ascii="楷体" w:hAnsi="楷体" w:eastAsia="楷体" w:cs="宋体"/>
                <w:b/>
                <w:spacing w:val="-2"/>
                <w:sz w:val="21"/>
                <w:szCs w:val="21"/>
              </w:rPr>
            </w:pPr>
            <w:r>
              <w:rPr>
                <w:rFonts w:hint="eastAsia" w:ascii="楷体" w:hAnsi="楷体" w:eastAsia="楷体" w:cs="宋体"/>
                <w:b/>
                <w:spacing w:val="-2"/>
                <w:sz w:val="21"/>
                <w:szCs w:val="21"/>
              </w:rPr>
              <w:t>单一投资者单日累计认</w:t>
            </w:r>
            <w:r>
              <w:rPr>
                <w:rFonts w:hint="eastAsia" w:ascii="楷体" w:hAnsi="楷体" w:eastAsia="楷体" w:cs="宋体"/>
                <w:b/>
                <w:spacing w:val="-2"/>
                <w:sz w:val="21"/>
                <w:szCs w:val="21"/>
                <w:lang w:val="en-US" w:eastAsia="zh-CN"/>
              </w:rPr>
              <w:t>购</w:t>
            </w:r>
            <w:r>
              <w:rPr>
                <w:rFonts w:hint="eastAsia" w:ascii="楷体" w:hAnsi="楷体" w:eastAsia="楷体" w:cs="宋体"/>
                <w:b/>
                <w:spacing w:val="-2"/>
                <w:sz w:val="21"/>
                <w:szCs w:val="21"/>
              </w:rPr>
              <w:t>/申购上限</w:t>
            </w:r>
          </w:p>
        </w:tc>
        <w:tc>
          <w:tcPr>
            <w:tcW w:w="6468" w:type="dxa"/>
            <w:noWrap w:val="0"/>
            <w:vAlign w:val="center"/>
          </w:tcPr>
          <w:p>
            <w:pPr>
              <w:pStyle w:val="34"/>
              <w:kinsoku w:val="0"/>
              <w:overflowPunct w:val="0"/>
              <w:spacing w:before="12"/>
              <w:ind w:right="115" w:rightChars="55"/>
              <w:jc w:val="both"/>
              <w:rPr>
                <w:rFonts w:hint="eastAsia" w:ascii="楷体" w:hAnsi="楷体" w:eastAsia="楷体" w:cs="宋体"/>
                <w:spacing w:val="-2"/>
                <w:sz w:val="21"/>
                <w:szCs w:val="21"/>
              </w:rPr>
            </w:pPr>
            <w:r>
              <w:rPr>
                <w:rFonts w:hint="eastAsia" w:ascii="楷体" w:hAnsi="楷体" w:eastAsia="楷体" w:cs="宋体"/>
                <w:spacing w:val="-2"/>
                <w:sz w:val="21"/>
                <w:szCs w:val="21"/>
              </w:rPr>
              <w:t>暂无</w:t>
            </w:r>
            <w:r>
              <w:rPr>
                <w:rFonts w:hint="eastAsia" w:ascii="楷体" w:hAnsi="楷体" w:eastAsia="楷体" w:cs="宋体"/>
                <w:spacing w:val="-2"/>
                <w:sz w:val="21"/>
                <w:szCs w:val="21"/>
                <w:lang w:eastAsia="zh-CN"/>
              </w:rPr>
              <w:t>。</w:t>
            </w:r>
            <w:r>
              <w:rPr>
                <w:rFonts w:hint="eastAsia" w:ascii="楷体" w:hAnsi="楷体" w:eastAsia="楷体" w:cs="宋体"/>
                <w:spacing w:val="-2"/>
                <w:sz w:val="21"/>
                <w:szCs w:val="21"/>
              </w:rPr>
              <w:t>超过</w:t>
            </w:r>
            <w:r>
              <w:rPr>
                <w:rFonts w:hint="eastAsia" w:ascii="楷体" w:hAnsi="楷体" w:eastAsia="楷体" w:cs="宋体"/>
                <w:spacing w:val="-2"/>
                <w:sz w:val="21"/>
                <w:szCs w:val="21"/>
                <w:lang w:val="en-US" w:eastAsia="zh-CN"/>
              </w:rPr>
              <w:t>单一投资者</w:t>
            </w:r>
            <w:r>
              <w:rPr>
                <w:rFonts w:hint="eastAsia" w:ascii="楷体" w:hAnsi="楷体" w:eastAsia="楷体" w:cs="宋体"/>
                <w:spacing w:val="-2"/>
                <w:sz w:val="21"/>
                <w:szCs w:val="21"/>
              </w:rPr>
              <w:t>单日累计认</w:t>
            </w:r>
            <w:r>
              <w:rPr>
                <w:rFonts w:hint="eastAsia" w:ascii="楷体" w:hAnsi="楷体" w:eastAsia="楷体" w:cs="宋体"/>
                <w:spacing w:val="-2"/>
                <w:sz w:val="21"/>
                <w:szCs w:val="21"/>
                <w:lang w:val="en-US" w:eastAsia="zh-CN"/>
              </w:rPr>
              <w:t>购</w:t>
            </w:r>
            <w:r>
              <w:rPr>
                <w:rFonts w:hint="eastAsia" w:ascii="楷体" w:hAnsi="楷体" w:eastAsia="楷体" w:cs="宋体"/>
                <w:spacing w:val="-2"/>
                <w:sz w:val="21"/>
                <w:szCs w:val="21"/>
              </w:rPr>
              <w:t>/申购上限时，</w:t>
            </w:r>
            <w:r>
              <w:rPr>
                <w:rFonts w:hint="eastAsia" w:ascii="楷体" w:hAnsi="楷体" w:eastAsia="楷体" w:cs="宋体"/>
                <w:spacing w:val="-2"/>
                <w:sz w:val="21"/>
                <w:szCs w:val="21"/>
                <w:lang w:val="en-US" w:eastAsia="zh-CN"/>
              </w:rPr>
              <w:t>管理人有权</w:t>
            </w:r>
            <w:r>
              <w:rPr>
                <w:rFonts w:hint="eastAsia" w:ascii="楷体" w:hAnsi="楷体" w:eastAsia="楷体" w:cs="宋体"/>
                <w:spacing w:val="-2"/>
                <w:sz w:val="21"/>
                <w:szCs w:val="21"/>
              </w:rPr>
              <w:t>拒绝投资者的认</w:t>
            </w:r>
            <w:r>
              <w:rPr>
                <w:rFonts w:hint="eastAsia" w:ascii="楷体" w:hAnsi="楷体" w:eastAsia="楷体" w:cs="宋体"/>
                <w:spacing w:val="-2"/>
                <w:sz w:val="21"/>
                <w:szCs w:val="21"/>
                <w:lang w:val="en-US" w:eastAsia="zh-CN"/>
              </w:rPr>
              <w:t>购</w:t>
            </w:r>
            <w:r>
              <w:rPr>
                <w:rFonts w:hint="eastAsia" w:ascii="楷体" w:hAnsi="楷体" w:eastAsia="楷体" w:cs="宋体"/>
                <w:spacing w:val="-2"/>
                <w:sz w:val="21"/>
                <w:szCs w:val="21"/>
              </w:rPr>
              <w:t>/申购申请。产品存续期</w:t>
            </w:r>
            <w:r>
              <w:rPr>
                <w:rFonts w:ascii="楷体" w:hAnsi="楷体" w:eastAsia="楷体" w:cs="宋体"/>
                <w:spacing w:val="-2"/>
                <w:sz w:val="21"/>
                <w:szCs w:val="21"/>
              </w:rPr>
              <w:t>内管理人有权根据实际情况调整</w:t>
            </w:r>
            <w:r>
              <w:rPr>
                <w:rFonts w:hint="eastAsia" w:ascii="楷体" w:hAnsi="楷体" w:eastAsia="楷体" w:cs="宋体"/>
                <w:spacing w:val="-2"/>
                <w:sz w:val="21"/>
                <w:szCs w:val="21"/>
              </w:rPr>
              <w:t>单日累计认</w:t>
            </w:r>
            <w:r>
              <w:rPr>
                <w:rFonts w:hint="eastAsia" w:ascii="楷体" w:hAnsi="楷体" w:eastAsia="楷体" w:cs="宋体"/>
                <w:spacing w:val="-2"/>
                <w:sz w:val="21"/>
                <w:szCs w:val="21"/>
                <w:lang w:val="en-US" w:eastAsia="zh-CN"/>
              </w:rPr>
              <w:t>购</w:t>
            </w:r>
            <w:r>
              <w:rPr>
                <w:rFonts w:hint="eastAsia" w:ascii="楷体" w:hAnsi="楷体" w:eastAsia="楷体" w:cs="宋体"/>
                <w:spacing w:val="-2"/>
                <w:sz w:val="21"/>
                <w:szCs w:val="21"/>
              </w:rPr>
              <w:t>/申购上限。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4"/>
              <w:kinsoku w:val="0"/>
              <w:overflowPunct w:val="0"/>
              <w:spacing w:before="12"/>
              <w:ind w:left="55" w:leftChars="0"/>
              <w:jc w:val="both"/>
              <w:rPr>
                <w:rFonts w:hint="eastAsia" w:ascii="楷体" w:hAnsi="楷体" w:eastAsia="楷体" w:cs="宋体"/>
                <w:b/>
                <w:spacing w:val="-2"/>
                <w:sz w:val="21"/>
                <w:szCs w:val="21"/>
                <w:highlight w:val="none"/>
              </w:rPr>
            </w:pPr>
            <w:r>
              <w:rPr>
                <w:rFonts w:hint="eastAsia" w:ascii="楷体" w:hAnsi="楷体" w:eastAsia="楷体" w:cs="宋体"/>
                <w:b/>
                <w:spacing w:val="-2"/>
                <w:sz w:val="21"/>
                <w:szCs w:val="21"/>
                <w:highlight w:val="none"/>
              </w:rPr>
              <w:t>单个客户持有份额上限</w:t>
            </w:r>
          </w:p>
        </w:tc>
        <w:tc>
          <w:tcPr>
            <w:tcW w:w="6468" w:type="dxa"/>
            <w:noWrap w:val="0"/>
            <w:vAlign w:val="center"/>
          </w:tcPr>
          <w:p>
            <w:pPr>
              <w:ind w:left="59" w:leftChars="0" w:right="73" w:rightChars="35"/>
              <w:rPr>
                <w:rFonts w:hint="eastAsia" w:ascii="楷体" w:hAnsi="楷体" w:eastAsia="楷体" w:cs="宋体"/>
                <w:spacing w:val="-2"/>
                <w:sz w:val="21"/>
                <w:szCs w:val="21"/>
                <w:highlight w:val="none"/>
              </w:rPr>
            </w:pPr>
            <w:r>
              <w:rPr>
                <w:rFonts w:hint="eastAsia" w:ascii="楷体" w:hAnsi="楷体" w:eastAsia="楷体" w:cs="宋体"/>
                <w:spacing w:val="-2"/>
                <w:kern w:val="0"/>
                <w:sz w:val="21"/>
                <w:szCs w:val="21"/>
                <w:highlight w:val="none"/>
                <w:lang w:val="en-US" w:eastAsia="zh-CN" w:bidi="ar-SA"/>
              </w:rPr>
              <w:t>单一投资者持有份额不得超过总份额50%；非因主观因素导致突破前款规定比例限制的，在单一投资者持有份额占理财产品总份额比例降至50%以下之前，不再接受该单一投资者对理财产品的认购申请。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4"/>
              <w:kinsoku w:val="0"/>
              <w:overflowPunct w:val="0"/>
              <w:spacing w:before="14"/>
              <w:rPr>
                <w:rFonts w:ascii="楷体" w:hAnsi="楷体" w:eastAsia="楷体" w:cs="宋体"/>
                <w:b/>
                <w:spacing w:val="-2"/>
                <w:sz w:val="21"/>
                <w:szCs w:val="21"/>
              </w:rPr>
            </w:pPr>
            <w:r>
              <w:rPr>
                <w:rFonts w:hint="eastAsia" w:ascii="楷体" w:hAnsi="楷体" w:eastAsia="楷体" w:cs="宋体"/>
                <w:b/>
                <w:spacing w:val="-2"/>
                <w:sz w:val="21"/>
                <w:szCs w:val="21"/>
              </w:rPr>
              <w:t>募集币种</w:t>
            </w:r>
          </w:p>
        </w:tc>
        <w:tc>
          <w:tcPr>
            <w:tcW w:w="6468" w:type="dxa"/>
            <w:noWrap w:val="0"/>
            <w:vAlign w:val="center"/>
          </w:tcPr>
          <w:p>
            <w:pPr>
              <w:pStyle w:val="34"/>
              <w:kinsoku w:val="0"/>
              <w:overflowPunct w:val="0"/>
              <w:spacing w:before="14"/>
              <w:rPr>
                <w:rFonts w:ascii="楷体" w:hAnsi="楷体" w:eastAsia="楷体" w:cs="宋体"/>
                <w:spacing w:val="-2"/>
                <w:sz w:val="21"/>
                <w:szCs w:val="21"/>
              </w:rPr>
            </w:pPr>
            <w:r>
              <w:rPr>
                <w:rFonts w:hint="eastAsia" w:ascii="楷体" w:hAnsi="楷体" w:eastAsia="楷体" w:cs="宋体"/>
                <w:spacing w:val="-2"/>
                <w:sz w:val="21"/>
                <w:szCs w:val="21"/>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4"/>
              <w:kinsoku w:val="0"/>
              <w:overflowPunct w:val="0"/>
              <w:spacing w:before="13"/>
              <w:ind w:left="2"/>
              <w:rPr>
                <w:rFonts w:hint="eastAsia" w:ascii="楷体" w:hAnsi="楷体" w:eastAsia="楷体" w:cs="宋体"/>
                <w:spacing w:val="-2"/>
                <w:sz w:val="21"/>
                <w:szCs w:val="21"/>
              </w:rPr>
            </w:pPr>
            <w:r>
              <w:rPr>
                <w:rFonts w:hint="eastAsia" w:ascii="楷体" w:hAnsi="楷体" w:eastAsia="楷体" w:cs="宋体"/>
                <w:b/>
                <w:spacing w:val="-2"/>
                <w:sz w:val="21"/>
                <w:szCs w:val="21"/>
              </w:rPr>
              <w:t>计划发行规模</w:t>
            </w:r>
          </w:p>
        </w:tc>
        <w:tc>
          <w:tcPr>
            <w:tcW w:w="6468" w:type="dxa"/>
            <w:noWrap w:val="0"/>
            <w:vAlign w:val="center"/>
          </w:tcPr>
          <w:p>
            <w:pPr>
              <w:pStyle w:val="34"/>
              <w:kinsoku w:val="0"/>
              <w:overflowPunct w:val="0"/>
              <w:spacing w:before="12"/>
              <w:ind w:left="3"/>
              <w:rPr>
                <w:rFonts w:ascii="楷体" w:hAnsi="楷体" w:eastAsia="楷体" w:cs="宋体"/>
                <w:spacing w:val="-2"/>
                <w:sz w:val="21"/>
                <w:szCs w:val="21"/>
              </w:rPr>
            </w:pPr>
            <w:r>
              <w:rPr>
                <w:rFonts w:hint="eastAsia" w:ascii="楷体" w:hAnsi="楷体" w:eastAsia="楷体" w:cs="宋体"/>
                <w:spacing w:val="-2"/>
                <w:sz w:val="21"/>
                <w:szCs w:val="21"/>
              </w:rPr>
              <w:t>存续规模上限</w:t>
            </w:r>
            <w:r>
              <w:rPr>
                <w:rFonts w:hint="eastAsia" w:ascii="楷体" w:hAnsi="楷体" w:eastAsia="楷体" w:cs="宋体"/>
                <w:spacing w:val="-2"/>
                <w:sz w:val="21"/>
                <w:szCs w:val="21"/>
                <w:lang w:val="en-US" w:eastAsia="zh-CN"/>
              </w:rPr>
              <w:t>2730</w:t>
            </w:r>
            <w:r>
              <w:rPr>
                <w:rFonts w:hint="eastAsia" w:ascii="楷体" w:hAnsi="楷体" w:eastAsia="楷体" w:cs="宋体"/>
                <w:spacing w:val="-2"/>
                <w:sz w:val="21"/>
                <w:szCs w:val="21"/>
              </w:rPr>
              <w:t>亿元，</w:t>
            </w:r>
            <w:r>
              <w:rPr>
                <w:rFonts w:hint="eastAsia" w:ascii="楷体" w:hAnsi="楷体" w:eastAsia="楷体" w:cs="宋体"/>
                <w:spacing w:val="-2"/>
                <w:sz w:val="21"/>
                <w:szCs w:val="21"/>
                <w:lang w:val="en-US" w:eastAsia="zh-CN"/>
              </w:rPr>
              <w:t>其中</w:t>
            </w:r>
            <w:r>
              <w:rPr>
                <w:rFonts w:hint="eastAsia" w:ascii="楷体" w:hAnsi="楷体" w:eastAsia="楷体" w:cs="宋体"/>
                <w:spacing w:val="-2"/>
                <w:sz w:val="21"/>
                <w:szCs w:val="21"/>
              </w:rPr>
              <w:t>芙蓉锦程·优选份额</w:t>
            </w:r>
            <w:r>
              <w:rPr>
                <w:rFonts w:hint="eastAsia" w:ascii="楷体" w:hAnsi="楷体" w:eastAsia="楷体" w:cs="宋体"/>
                <w:spacing w:val="-2"/>
                <w:sz w:val="21"/>
                <w:szCs w:val="21"/>
                <w:lang w:val="en-US" w:eastAsia="zh-CN"/>
              </w:rPr>
              <w:t>100亿，Z份额100亿，Q份额100亿，JS份额100亿，</w:t>
            </w:r>
            <w:r>
              <w:rPr>
                <w:rFonts w:hint="eastAsia" w:ascii="楷体" w:hAnsi="楷体" w:eastAsia="楷体" w:cs="宋体"/>
                <w:spacing w:val="-2"/>
                <w:sz w:val="21"/>
                <w:szCs w:val="21"/>
              </w:rPr>
              <w:t>芙蓉锦程·优选</w:t>
            </w:r>
            <w:r>
              <w:rPr>
                <w:rFonts w:hint="eastAsia" w:ascii="楷体" w:hAnsi="楷体" w:eastAsia="楷体" w:cs="宋体"/>
                <w:spacing w:val="-2"/>
                <w:sz w:val="21"/>
                <w:szCs w:val="21"/>
                <w:lang w:val="en-US" w:eastAsia="zh-CN"/>
              </w:rPr>
              <w:t>-尊享款</w:t>
            </w:r>
            <w:r>
              <w:rPr>
                <w:rFonts w:hint="eastAsia" w:ascii="楷体" w:hAnsi="楷体" w:eastAsia="楷体" w:cs="宋体"/>
                <w:spacing w:val="-2"/>
                <w:sz w:val="21"/>
                <w:szCs w:val="21"/>
              </w:rPr>
              <w:t>份额</w:t>
            </w:r>
            <w:r>
              <w:rPr>
                <w:rFonts w:hint="eastAsia" w:ascii="楷体" w:hAnsi="楷体" w:eastAsia="楷体" w:cs="宋体"/>
                <w:spacing w:val="-2"/>
                <w:sz w:val="21"/>
                <w:szCs w:val="21"/>
                <w:lang w:val="en-US" w:eastAsia="zh-CN"/>
              </w:rPr>
              <w:t>100亿，北部湾银行专属</w:t>
            </w:r>
            <w:r>
              <w:rPr>
                <w:rFonts w:hint="eastAsia" w:ascii="楷体" w:hAnsi="楷体" w:eastAsia="楷体" w:cs="宋体"/>
                <w:spacing w:val="-2"/>
                <w:sz w:val="21"/>
                <w:szCs w:val="21"/>
              </w:rPr>
              <w:t>份额</w:t>
            </w:r>
            <w:r>
              <w:rPr>
                <w:rFonts w:hint="eastAsia" w:ascii="楷体" w:hAnsi="楷体" w:eastAsia="楷体" w:cs="宋体"/>
                <w:spacing w:val="-2"/>
                <w:sz w:val="21"/>
                <w:szCs w:val="21"/>
                <w:lang w:val="en-US" w:eastAsia="zh-CN"/>
              </w:rPr>
              <w:t>100亿，P份额100亿</w:t>
            </w:r>
            <w:r>
              <w:rPr>
                <w:rFonts w:hint="eastAsia" w:ascii="楷体" w:hAnsi="楷体" w:eastAsia="楷体" w:cs="宋体"/>
                <w:spacing w:val="-2"/>
                <w:sz w:val="21"/>
                <w:szCs w:val="21"/>
              </w:rPr>
              <w:t>。</w:t>
            </w:r>
          </w:p>
          <w:p>
            <w:pPr>
              <w:pStyle w:val="34"/>
              <w:kinsoku w:val="0"/>
              <w:overflowPunct w:val="0"/>
              <w:spacing w:before="12"/>
              <w:ind w:left="3"/>
              <w:rPr>
                <w:rFonts w:hint="eastAsia" w:ascii="楷体" w:hAnsi="楷体" w:eastAsia="楷体" w:cs="宋体"/>
                <w:spacing w:val="-2"/>
                <w:sz w:val="21"/>
                <w:szCs w:val="21"/>
              </w:rPr>
            </w:pPr>
            <w:r>
              <w:rPr>
                <w:rFonts w:hint="eastAsia" w:ascii="楷体" w:hAnsi="楷体" w:eastAsia="楷体" w:cs="宋体"/>
                <w:spacing w:val="-2"/>
                <w:sz w:val="21"/>
                <w:szCs w:val="21"/>
              </w:rPr>
              <w:t>苏银理财有权根据投资运作情况，调整初始募集规模和存续规模。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4"/>
              <w:kinsoku w:val="0"/>
              <w:overflowPunct w:val="0"/>
              <w:spacing w:before="13"/>
              <w:jc w:val="both"/>
              <w:rPr>
                <w:rFonts w:hint="eastAsia" w:ascii="楷体" w:hAnsi="楷体" w:eastAsia="楷体" w:cs="宋体"/>
                <w:b/>
                <w:spacing w:val="-2"/>
                <w:sz w:val="21"/>
                <w:szCs w:val="21"/>
              </w:rPr>
            </w:pPr>
            <w:r>
              <w:rPr>
                <w:rFonts w:hint="eastAsia" w:ascii="楷体" w:hAnsi="楷体" w:eastAsia="楷体" w:cs="宋体"/>
                <w:b/>
                <w:spacing w:val="-2"/>
                <w:sz w:val="21"/>
                <w:szCs w:val="21"/>
                <w:highlight w:val="none"/>
              </w:rPr>
              <w:t>份额面值</w:t>
            </w:r>
          </w:p>
        </w:tc>
        <w:tc>
          <w:tcPr>
            <w:tcW w:w="6468" w:type="dxa"/>
            <w:noWrap w:val="0"/>
            <w:vAlign w:val="center"/>
          </w:tcPr>
          <w:p>
            <w:pPr>
              <w:pStyle w:val="34"/>
              <w:kinsoku w:val="0"/>
              <w:overflowPunct w:val="0"/>
              <w:spacing w:before="12"/>
              <w:ind w:left="59" w:leftChars="0" w:right="73" w:rightChars="35"/>
              <w:jc w:val="both"/>
              <w:rPr>
                <w:rFonts w:hint="eastAsia" w:ascii="楷体" w:hAnsi="楷体" w:eastAsia="楷体" w:cs="宋体"/>
                <w:spacing w:val="-2"/>
                <w:sz w:val="21"/>
                <w:szCs w:val="21"/>
              </w:rPr>
            </w:pPr>
            <w:r>
              <w:rPr>
                <w:rFonts w:hint="eastAsia" w:ascii="楷体" w:hAnsi="楷体" w:eastAsia="楷体" w:cs="宋体"/>
                <w:spacing w:val="-2"/>
                <w:sz w:val="21"/>
                <w:szCs w:val="21"/>
                <w:highlight w:val="none"/>
              </w:rPr>
              <w:t>1元/份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4"/>
              <w:kinsoku w:val="0"/>
              <w:overflowPunct w:val="0"/>
              <w:spacing w:before="13"/>
              <w:ind w:left="2"/>
              <w:rPr>
                <w:rFonts w:hint="eastAsia" w:ascii="楷体" w:hAnsi="楷体" w:eastAsia="楷体" w:cs="宋体"/>
                <w:b/>
                <w:spacing w:val="-2"/>
                <w:sz w:val="21"/>
                <w:szCs w:val="21"/>
              </w:rPr>
            </w:pPr>
            <w:r>
              <w:rPr>
                <w:rFonts w:hint="eastAsia" w:ascii="楷体" w:hAnsi="楷体" w:eastAsia="楷体" w:cs="宋体"/>
                <w:b/>
                <w:spacing w:val="-2"/>
                <w:sz w:val="21"/>
                <w:szCs w:val="21"/>
              </w:rPr>
              <w:t>募集期</w:t>
            </w:r>
          </w:p>
        </w:tc>
        <w:tc>
          <w:tcPr>
            <w:tcW w:w="6468" w:type="dxa"/>
            <w:noWrap w:val="0"/>
            <w:vAlign w:val="center"/>
          </w:tcPr>
          <w:p>
            <w:pPr>
              <w:pStyle w:val="34"/>
              <w:kinsoku w:val="0"/>
              <w:overflowPunct w:val="0"/>
              <w:spacing w:before="12"/>
              <w:rPr>
                <w:rFonts w:hint="eastAsia" w:ascii="楷体" w:hAnsi="楷体" w:eastAsia="楷体" w:cs="宋体"/>
                <w:spacing w:val="-2"/>
                <w:sz w:val="21"/>
                <w:szCs w:val="21"/>
              </w:rPr>
            </w:pPr>
            <w:r>
              <w:rPr>
                <w:rFonts w:hint="eastAsia" w:ascii="楷体" w:hAnsi="楷体" w:eastAsia="楷体" w:cs="宋体"/>
                <w:spacing w:val="-2"/>
                <w:sz w:val="21"/>
                <w:szCs w:val="21"/>
              </w:rPr>
              <w:t>2018年8月29日9:00到2018年9月3日17:00</w:t>
            </w:r>
          </w:p>
          <w:p>
            <w:pPr>
              <w:pStyle w:val="34"/>
              <w:kinsoku w:val="0"/>
              <w:overflowPunct w:val="0"/>
              <w:spacing w:before="12"/>
              <w:rPr>
                <w:rFonts w:hint="eastAsia" w:ascii="楷体" w:hAnsi="楷体" w:eastAsia="楷体" w:cs="宋体"/>
                <w:spacing w:val="-2"/>
                <w:sz w:val="21"/>
                <w:szCs w:val="21"/>
              </w:rPr>
            </w:pPr>
            <w:r>
              <w:rPr>
                <w:rFonts w:hint="eastAsia" w:ascii="楷体" w:hAnsi="楷体" w:eastAsia="楷体" w:cs="宋体"/>
                <w:spacing w:val="-2"/>
                <w:sz w:val="21"/>
                <w:szCs w:val="21"/>
              </w:rPr>
              <w:t>管理人在法律允许的范围内保留延长或提前终止产品募集期的权利。如有变动，实际产品募集期以管理人公告或各销售机构设置的募集时间为准。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4"/>
              <w:kinsoku w:val="0"/>
              <w:overflowPunct w:val="0"/>
              <w:spacing w:before="12"/>
              <w:ind w:left="2"/>
              <w:rPr>
                <w:rFonts w:hint="eastAsia" w:ascii="楷体" w:hAnsi="楷体" w:eastAsia="楷体" w:cs="宋体"/>
                <w:b/>
                <w:spacing w:val="-2"/>
                <w:sz w:val="21"/>
                <w:szCs w:val="21"/>
              </w:rPr>
            </w:pPr>
            <w:r>
              <w:rPr>
                <w:rFonts w:hint="eastAsia" w:ascii="楷体" w:hAnsi="楷体" w:eastAsia="楷体" w:cs="宋体"/>
                <w:b/>
                <w:spacing w:val="-2"/>
                <w:sz w:val="21"/>
                <w:szCs w:val="21"/>
              </w:rPr>
              <w:t>投资运作起始日</w:t>
            </w:r>
          </w:p>
        </w:tc>
        <w:tc>
          <w:tcPr>
            <w:tcW w:w="6468" w:type="dxa"/>
            <w:noWrap w:val="0"/>
            <w:vAlign w:val="center"/>
          </w:tcPr>
          <w:p>
            <w:pPr>
              <w:pStyle w:val="34"/>
              <w:kinsoku w:val="0"/>
              <w:overflowPunct w:val="0"/>
              <w:spacing w:before="12"/>
              <w:rPr>
                <w:rFonts w:ascii="楷体" w:hAnsi="楷体" w:eastAsia="楷体" w:cs="宋体"/>
                <w:spacing w:val="-2"/>
                <w:sz w:val="21"/>
                <w:szCs w:val="21"/>
              </w:rPr>
            </w:pPr>
            <w:r>
              <w:rPr>
                <w:rFonts w:hint="eastAsia" w:ascii="楷体" w:hAnsi="楷体" w:eastAsia="楷体" w:cs="宋体"/>
                <w:spacing w:val="-2"/>
                <w:sz w:val="21"/>
                <w:szCs w:val="21"/>
              </w:rPr>
              <w:t>2018年9月4日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4"/>
              <w:kinsoku w:val="0"/>
              <w:overflowPunct w:val="0"/>
              <w:spacing w:before="12"/>
              <w:ind w:left="2"/>
              <w:rPr>
                <w:rFonts w:hint="eastAsia" w:ascii="楷体" w:hAnsi="楷体" w:eastAsia="楷体" w:cs="宋体"/>
                <w:b/>
                <w:spacing w:val="-2"/>
                <w:sz w:val="21"/>
                <w:szCs w:val="21"/>
              </w:rPr>
            </w:pPr>
            <w:r>
              <w:rPr>
                <w:rFonts w:hint="eastAsia" w:ascii="楷体" w:hAnsi="楷体" w:eastAsia="楷体" w:cs="宋体"/>
                <w:b/>
                <w:spacing w:val="-2"/>
                <w:sz w:val="21"/>
                <w:szCs w:val="21"/>
              </w:rPr>
              <w:t>封闭运作期</w:t>
            </w:r>
          </w:p>
        </w:tc>
        <w:tc>
          <w:tcPr>
            <w:tcW w:w="6468" w:type="dxa"/>
            <w:noWrap w:val="0"/>
            <w:vAlign w:val="center"/>
          </w:tcPr>
          <w:p>
            <w:pPr>
              <w:pStyle w:val="34"/>
              <w:kinsoku w:val="0"/>
              <w:overflowPunct w:val="0"/>
              <w:spacing w:before="12"/>
              <w:rPr>
                <w:rFonts w:hint="eastAsia" w:ascii="楷体" w:hAnsi="楷体" w:eastAsia="楷体" w:cs="宋体"/>
                <w:spacing w:val="-2"/>
                <w:sz w:val="21"/>
                <w:szCs w:val="21"/>
                <w:lang w:eastAsia="zh-CN"/>
              </w:rPr>
            </w:pPr>
            <w:r>
              <w:rPr>
                <w:rFonts w:hint="eastAsia" w:ascii="楷体" w:hAnsi="楷体" w:eastAsia="楷体" w:cs="宋体"/>
                <w:spacing w:val="-2"/>
                <w:sz w:val="21"/>
                <w:szCs w:val="21"/>
              </w:rPr>
              <w:t>2018年9月4日</w:t>
            </w:r>
            <w:r>
              <w:rPr>
                <w:rFonts w:hint="eastAsia" w:ascii="楷体" w:hAnsi="楷体" w:eastAsia="楷体" w:cs="宋体"/>
                <w:spacing w:val="-2"/>
                <w:sz w:val="21"/>
                <w:szCs w:val="21"/>
                <w:lang w:eastAsia="zh-CN"/>
              </w:rPr>
              <w:t>，</w:t>
            </w:r>
            <w:r>
              <w:rPr>
                <w:rFonts w:ascii="楷体" w:hAnsi="楷体" w:eastAsia="楷体" w:cs="宋体"/>
                <w:spacing w:val="-2"/>
                <w:sz w:val="21"/>
                <w:szCs w:val="21"/>
              </w:rPr>
              <w:t>封闭运作期内不可申购/</w:t>
            </w:r>
            <w:r>
              <w:rPr>
                <w:rFonts w:hint="eastAsia" w:ascii="楷体" w:hAnsi="楷体" w:eastAsia="楷体" w:cs="宋体"/>
                <w:spacing w:val="-2"/>
                <w:sz w:val="21"/>
                <w:szCs w:val="21"/>
              </w:rPr>
              <w:t>赎回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4"/>
              <w:kinsoku w:val="0"/>
              <w:overflowPunct w:val="0"/>
              <w:spacing w:before="12"/>
              <w:ind w:left="2"/>
              <w:rPr>
                <w:rFonts w:hint="eastAsia" w:ascii="楷体" w:hAnsi="楷体" w:eastAsia="楷体" w:cs="宋体"/>
                <w:b/>
                <w:spacing w:val="-2"/>
                <w:sz w:val="21"/>
                <w:szCs w:val="21"/>
              </w:rPr>
            </w:pPr>
            <w:r>
              <w:rPr>
                <w:rFonts w:hint="eastAsia" w:ascii="楷体" w:hAnsi="楷体" w:eastAsia="楷体" w:cs="宋体"/>
                <w:b/>
                <w:spacing w:val="-2"/>
                <w:sz w:val="21"/>
                <w:szCs w:val="21"/>
              </w:rPr>
              <w:t>开放计划</w:t>
            </w:r>
          </w:p>
        </w:tc>
        <w:tc>
          <w:tcPr>
            <w:tcW w:w="6468" w:type="dxa"/>
            <w:noWrap w:val="0"/>
            <w:vAlign w:val="top"/>
          </w:tcPr>
          <w:p>
            <w:pPr>
              <w:pStyle w:val="34"/>
              <w:kinsoku w:val="0"/>
              <w:overflowPunct w:val="0"/>
              <w:spacing w:before="12"/>
              <w:ind w:left="2"/>
              <w:rPr>
                <w:rFonts w:hint="eastAsia" w:ascii="楷体" w:hAnsi="楷体" w:eastAsia="楷体" w:cs="宋体"/>
                <w:spacing w:val="-2"/>
                <w:sz w:val="21"/>
                <w:szCs w:val="21"/>
              </w:rPr>
            </w:pPr>
            <w:r>
              <w:rPr>
                <w:rFonts w:hint="eastAsia" w:ascii="楷体" w:hAnsi="楷体" w:eastAsia="楷体" w:cs="宋体"/>
                <w:spacing w:val="-2"/>
                <w:sz w:val="21"/>
                <w:szCs w:val="21"/>
              </w:rPr>
              <w:t>本产品封闭运作期结束后，自2</w:t>
            </w:r>
            <w:r>
              <w:rPr>
                <w:rFonts w:ascii="楷体" w:hAnsi="楷体" w:eastAsia="楷体" w:cs="宋体"/>
                <w:spacing w:val="-2"/>
                <w:sz w:val="21"/>
                <w:szCs w:val="21"/>
              </w:rPr>
              <w:t>0</w:t>
            </w:r>
            <w:r>
              <w:rPr>
                <w:rFonts w:hint="eastAsia" w:ascii="楷体" w:hAnsi="楷体" w:eastAsia="楷体" w:cs="宋体"/>
                <w:spacing w:val="-2"/>
                <w:sz w:val="21"/>
                <w:szCs w:val="21"/>
              </w:rPr>
              <w:t>18</w:t>
            </w:r>
            <w:r>
              <w:rPr>
                <w:rFonts w:ascii="楷体" w:hAnsi="楷体" w:eastAsia="楷体" w:cs="宋体"/>
                <w:spacing w:val="-2"/>
                <w:sz w:val="21"/>
                <w:szCs w:val="21"/>
              </w:rPr>
              <w:t>年</w:t>
            </w:r>
            <w:r>
              <w:rPr>
                <w:rFonts w:hint="eastAsia" w:ascii="楷体" w:hAnsi="楷体" w:eastAsia="楷体" w:cs="宋体"/>
                <w:spacing w:val="-2"/>
                <w:sz w:val="21"/>
                <w:szCs w:val="21"/>
              </w:rPr>
              <w:t>9月5</w:t>
            </w:r>
            <w:r>
              <w:rPr>
                <w:rFonts w:ascii="楷体" w:hAnsi="楷体" w:eastAsia="楷体" w:cs="宋体"/>
                <w:spacing w:val="-2"/>
                <w:sz w:val="21"/>
                <w:szCs w:val="21"/>
              </w:rPr>
              <w:t>日</w:t>
            </w:r>
            <w:r>
              <w:rPr>
                <w:rFonts w:hint="eastAsia" w:ascii="楷体" w:hAnsi="楷体" w:eastAsia="楷体" w:cs="宋体"/>
                <w:spacing w:val="-2"/>
                <w:sz w:val="21"/>
                <w:szCs w:val="21"/>
              </w:rPr>
              <w:t>起按工作日开放申购，苏银理财可根据资产运作情况、节假日、客户需求调整开放频率，并在调整前通过苏银理财官方网站公告。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tcBorders>
              <w:bottom w:val="single" w:color="auto" w:sz="4" w:space="0"/>
            </w:tcBorders>
            <w:noWrap w:val="0"/>
            <w:vAlign w:val="center"/>
          </w:tcPr>
          <w:p>
            <w:pPr>
              <w:pStyle w:val="34"/>
              <w:kinsoku w:val="0"/>
              <w:overflowPunct w:val="0"/>
              <w:spacing w:before="12"/>
              <w:rPr>
                <w:rFonts w:hint="eastAsia" w:ascii="楷体" w:hAnsi="楷体" w:eastAsia="楷体" w:cs="宋体"/>
                <w:b/>
                <w:spacing w:val="-2"/>
                <w:sz w:val="21"/>
                <w:szCs w:val="21"/>
              </w:rPr>
            </w:pPr>
            <w:r>
              <w:rPr>
                <w:rFonts w:hint="eastAsia" w:ascii="楷体" w:hAnsi="楷体" w:eastAsia="楷体" w:cs="宋体"/>
                <w:b/>
                <w:spacing w:val="-2"/>
                <w:sz w:val="21"/>
                <w:szCs w:val="21"/>
              </w:rPr>
              <w:t>工作日</w:t>
            </w:r>
          </w:p>
        </w:tc>
        <w:tc>
          <w:tcPr>
            <w:tcW w:w="6468" w:type="dxa"/>
            <w:tcBorders>
              <w:bottom w:val="single" w:color="auto" w:sz="4" w:space="0"/>
            </w:tcBorders>
            <w:noWrap w:val="0"/>
            <w:vAlign w:val="center"/>
          </w:tcPr>
          <w:p>
            <w:pPr>
              <w:jc w:val="left"/>
              <w:rPr>
                <w:rFonts w:hint="eastAsia" w:ascii="楷体" w:hAnsi="楷体" w:eastAsia="楷体" w:cs="宋体"/>
                <w:spacing w:val="-2"/>
                <w:kern w:val="0"/>
                <w:szCs w:val="21"/>
              </w:rPr>
            </w:pPr>
            <w:r>
              <w:rPr>
                <w:rFonts w:hint="eastAsia" w:ascii="楷体" w:hAnsi="楷体" w:eastAsia="楷体" w:cs="宋体"/>
                <w:spacing w:val="-2"/>
                <w:kern w:val="0"/>
                <w:szCs w:val="21"/>
              </w:rPr>
              <w:t>本产品所指工作日为上海证券交易所、深圳证券交易所的正常交易日。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tcBorders>
              <w:top w:val="single" w:color="auto" w:sz="4" w:space="0"/>
              <w:left w:val="single" w:color="auto" w:sz="4" w:space="0"/>
              <w:bottom w:val="single" w:color="auto" w:sz="4" w:space="0"/>
              <w:right w:val="single" w:color="auto" w:sz="4" w:space="0"/>
            </w:tcBorders>
            <w:noWrap w:val="0"/>
            <w:vAlign w:val="center"/>
          </w:tcPr>
          <w:p>
            <w:pPr>
              <w:pStyle w:val="34"/>
              <w:kinsoku w:val="0"/>
              <w:overflowPunct w:val="0"/>
              <w:spacing w:before="12"/>
              <w:rPr>
                <w:rFonts w:hint="eastAsia" w:ascii="楷体" w:hAnsi="楷体" w:eastAsia="楷体" w:cs="宋体"/>
                <w:b/>
                <w:spacing w:val="-2"/>
                <w:sz w:val="21"/>
                <w:szCs w:val="21"/>
              </w:rPr>
            </w:pPr>
            <w:r>
              <w:rPr>
                <w:rFonts w:hint="eastAsia" w:ascii="楷体" w:hAnsi="楷体" w:eastAsia="楷体" w:cs="宋体"/>
                <w:b/>
                <w:spacing w:val="-2"/>
                <w:sz w:val="21"/>
                <w:szCs w:val="21"/>
              </w:rPr>
              <w:t>产品申购</w:t>
            </w:r>
          </w:p>
        </w:tc>
        <w:tc>
          <w:tcPr>
            <w:tcW w:w="6468" w:type="dxa"/>
            <w:tcBorders>
              <w:top w:val="single" w:color="auto" w:sz="4" w:space="0"/>
              <w:left w:val="single" w:color="auto" w:sz="4" w:space="0"/>
              <w:bottom w:val="single" w:color="auto" w:sz="4" w:space="0"/>
              <w:right w:val="single" w:color="auto" w:sz="4" w:space="0"/>
            </w:tcBorders>
            <w:noWrap w:val="0"/>
            <w:vAlign w:val="center"/>
          </w:tcPr>
          <w:p>
            <w:pPr>
              <w:ind w:left="59" w:right="44" w:rightChars="21"/>
              <w:jc w:val="left"/>
              <w:rPr>
                <w:rFonts w:hint="eastAsia" w:ascii="楷体" w:hAnsi="楷体" w:eastAsia="楷体" w:cs="宋体"/>
                <w:spacing w:val="-2"/>
                <w:kern w:val="0"/>
                <w:szCs w:val="21"/>
              </w:rPr>
            </w:pPr>
            <w:r>
              <w:rPr>
                <w:rFonts w:hint="eastAsia" w:ascii="楷体" w:hAnsi="楷体" w:eastAsia="楷体" w:cs="宋体"/>
                <w:spacing w:val="-2"/>
                <w:kern w:val="0"/>
                <w:szCs w:val="21"/>
              </w:rPr>
              <w:t>1、开放预约申购为每周四至下周三（以各销售机构设置的预约期为准），其中周三为产品开放日，投资者在非开放日的预约申购申请行为统一视为在产品开放日提交申购申请。申购截止时间不晚于产品开放日17:00（以各销售机构设置的截止时间为准），开放日截止时间前客户提交的申购申请均可以申请撤单。</w:t>
            </w:r>
          </w:p>
          <w:p>
            <w:pPr>
              <w:ind w:left="59" w:right="44" w:rightChars="21"/>
              <w:jc w:val="left"/>
              <w:rPr>
                <w:rFonts w:hint="eastAsia" w:ascii="楷体" w:hAnsi="楷体" w:eastAsia="楷体" w:cs="宋体"/>
                <w:spacing w:val="-2"/>
                <w:kern w:val="0"/>
                <w:szCs w:val="21"/>
              </w:rPr>
            </w:pPr>
            <w:r>
              <w:rPr>
                <w:rFonts w:hint="eastAsia" w:ascii="楷体" w:hAnsi="楷体" w:eastAsia="楷体" w:cs="宋体"/>
                <w:spacing w:val="-2"/>
                <w:kern w:val="0"/>
                <w:szCs w:val="21"/>
              </w:rPr>
              <w:t>2、每周四为份额确认日，开放日受理的申购申请由管理人统一在周四予以确认。</w:t>
            </w:r>
          </w:p>
          <w:p>
            <w:pPr>
              <w:jc w:val="left"/>
              <w:rPr>
                <w:rFonts w:hint="eastAsia" w:ascii="楷体" w:hAnsi="楷体" w:eastAsia="楷体" w:cs="宋体"/>
                <w:spacing w:val="-2"/>
                <w:kern w:val="0"/>
                <w:szCs w:val="21"/>
              </w:rPr>
            </w:pPr>
            <w:r>
              <w:rPr>
                <w:rFonts w:hint="eastAsia" w:ascii="楷体" w:hAnsi="楷体" w:eastAsia="楷体" w:cs="宋体"/>
                <w:spacing w:val="-2"/>
                <w:kern w:val="0"/>
                <w:szCs w:val="21"/>
              </w:rPr>
              <w:t>3、</w:t>
            </w:r>
            <w:r>
              <w:rPr>
                <w:rFonts w:hint="eastAsia" w:ascii="楷体" w:hAnsi="楷体" w:eastAsia="楷体" w:cs="宋体"/>
                <w:b/>
                <w:spacing w:val="-2"/>
                <w:kern w:val="0"/>
                <w:szCs w:val="21"/>
                <w:u w:val="single"/>
              </w:rPr>
              <w:t>若周三</w:t>
            </w:r>
            <w:r>
              <w:rPr>
                <w:rFonts w:hint="eastAsia" w:ascii="楷体" w:hAnsi="楷体" w:eastAsia="楷体" w:cs="宋体"/>
                <w:b/>
                <w:spacing w:val="-2"/>
                <w:kern w:val="0"/>
                <w:szCs w:val="21"/>
                <w:u w:val="single"/>
                <w:lang w:val="en-US" w:eastAsia="zh-CN"/>
              </w:rPr>
              <w:t>或</w:t>
            </w:r>
            <w:r>
              <w:rPr>
                <w:rFonts w:hint="eastAsia" w:ascii="楷体" w:hAnsi="楷体" w:eastAsia="楷体" w:cs="宋体"/>
                <w:b/>
                <w:spacing w:val="-2"/>
                <w:kern w:val="0"/>
                <w:szCs w:val="21"/>
                <w:u w:val="single"/>
              </w:rPr>
              <w:t>周四为非工作日，则开放日和确认日作相应调整，苏银理财将按说明书约定的信息披露方式予以披露，以相关披露内容为准。其他时间苏银理财不接受客户申购申请。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tcBorders>
              <w:top w:val="single" w:color="auto" w:sz="4" w:space="0"/>
            </w:tcBorders>
            <w:noWrap w:val="0"/>
            <w:vAlign w:val="center"/>
          </w:tcPr>
          <w:p>
            <w:pPr>
              <w:pStyle w:val="34"/>
              <w:kinsoku w:val="0"/>
              <w:overflowPunct w:val="0"/>
              <w:spacing w:before="12"/>
              <w:rPr>
                <w:rFonts w:hint="eastAsia" w:ascii="楷体" w:hAnsi="楷体" w:eastAsia="楷体" w:cs="宋体"/>
                <w:b/>
                <w:spacing w:val="-2"/>
                <w:sz w:val="21"/>
                <w:szCs w:val="21"/>
                <w:highlight w:val="none"/>
              </w:rPr>
            </w:pPr>
            <w:r>
              <w:rPr>
                <w:rFonts w:hint="eastAsia" w:ascii="楷体" w:hAnsi="楷体" w:eastAsia="楷体" w:cs="宋体"/>
                <w:b/>
                <w:spacing w:val="-2"/>
                <w:sz w:val="21"/>
                <w:szCs w:val="21"/>
                <w:highlight w:val="none"/>
              </w:rPr>
              <w:t>巨额</w:t>
            </w:r>
            <w:r>
              <w:rPr>
                <w:rFonts w:ascii="楷体" w:hAnsi="楷体" w:eastAsia="楷体" w:cs="宋体"/>
                <w:b/>
                <w:spacing w:val="-2"/>
                <w:sz w:val="21"/>
                <w:szCs w:val="21"/>
                <w:highlight w:val="none"/>
              </w:rPr>
              <w:t>申购</w:t>
            </w:r>
          </w:p>
        </w:tc>
        <w:tc>
          <w:tcPr>
            <w:tcW w:w="6468" w:type="dxa"/>
            <w:tcBorders>
              <w:top w:val="single" w:color="auto" w:sz="4" w:space="0"/>
            </w:tcBorders>
            <w:noWrap w:val="0"/>
            <w:vAlign w:val="center"/>
          </w:tcPr>
          <w:p>
            <w:pPr>
              <w:jc w:val="left"/>
              <w:rPr>
                <w:rFonts w:hint="eastAsia" w:ascii="楷体" w:hAnsi="楷体" w:eastAsia="楷体" w:cs="宋体"/>
                <w:spacing w:val="-2"/>
                <w:kern w:val="0"/>
                <w:szCs w:val="21"/>
                <w:highlight w:val="none"/>
              </w:rPr>
            </w:pPr>
            <w:r>
              <w:rPr>
                <w:rFonts w:hint="eastAsia" w:ascii="楷体" w:hAnsi="楷体" w:eastAsia="楷体" w:cs="宋体"/>
                <w:spacing w:val="-2"/>
                <w:kern w:val="0"/>
                <w:szCs w:val="21"/>
                <w:highlight w:val="none"/>
              </w:rPr>
              <w:t>产品单个开放日</w:t>
            </w:r>
            <w:r>
              <w:rPr>
                <w:rFonts w:hint="eastAsia" w:ascii="楷体" w:hAnsi="楷体" w:eastAsia="楷体" w:cs="宋体"/>
                <w:spacing w:val="-2"/>
                <w:kern w:val="0"/>
                <w:szCs w:val="21"/>
                <w:highlight w:val="none"/>
                <w:lang w:val="en-US" w:eastAsia="zh-CN"/>
              </w:rPr>
              <w:t>净</w:t>
            </w:r>
            <w:r>
              <w:rPr>
                <w:rFonts w:hint="eastAsia" w:ascii="楷体" w:hAnsi="楷体" w:eastAsia="楷体" w:cs="宋体"/>
                <w:spacing w:val="-2"/>
                <w:kern w:val="0"/>
                <w:szCs w:val="21"/>
                <w:highlight w:val="none"/>
              </w:rPr>
              <w:t>申购申请折算产品份额超过上一日产品总份额20%时，即认为发生了巨额申购。当出现巨额申购时，产品管理人有权拒绝客户的全部或部分申购申请。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tcBorders>
              <w:top w:val="single" w:color="auto" w:sz="4" w:space="0"/>
            </w:tcBorders>
            <w:noWrap w:val="0"/>
            <w:vAlign w:val="center"/>
          </w:tcPr>
          <w:p>
            <w:pPr>
              <w:pStyle w:val="34"/>
              <w:kinsoku w:val="0"/>
              <w:overflowPunct w:val="0"/>
              <w:spacing w:before="12"/>
              <w:ind w:left="2"/>
              <w:rPr>
                <w:rFonts w:hint="eastAsia" w:ascii="楷体" w:hAnsi="楷体" w:eastAsia="楷体" w:cs="宋体"/>
                <w:b/>
                <w:spacing w:val="-2"/>
                <w:sz w:val="21"/>
                <w:szCs w:val="21"/>
              </w:rPr>
            </w:pPr>
            <w:r>
              <w:rPr>
                <w:rFonts w:hint="eastAsia" w:ascii="楷体" w:hAnsi="楷体" w:eastAsia="楷体" w:cs="宋体"/>
                <w:b/>
                <w:spacing w:val="-2"/>
                <w:sz w:val="21"/>
                <w:szCs w:val="21"/>
              </w:rPr>
              <w:t>产品赎回</w:t>
            </w:r>
          </w:p>
        </w:tc>
        <w:tc>
          <w:tcPr>
            <w:tcW w:w="6468" w:type="dxa"/>
            <w:tcBorders>
              <w:top w:val="single" w:color="auto" w:sz="4" w:space="0"/>
            </w:tcBorders>
            <w:noWrap w:val="0"/>
            <w:vAlign w:val="center"/>
          </w:tcPr>
          <w:p>
            <w:pPr>
              <w:jc w:val="left"/>
              <w:rPr>
                <w:rFonts w:hint="eastAsia" w:ascii="楷体" w:hAnsi="楷体" w:eastAsia="楷体" w:cs="宋体"/>
                <w:spacing w:val="-2"/>
                <w:kern w:val="0"/>
                <w:szCs w:val="21"/>
              </w:rPr>
            </w:pPr>
            <w:r>
              <w:rPr>
                <w:rFonts w:hint="eastAsia" w:ascii="楷体" w:hAnsi="楷体" w:eastAsia="楷体" w:cs="宋体"/>
                <w:spacing w:val="-2"/>
                <w:kern w:val="0"/>
                <w:szCs w:val="21"/>
              </w:rPr>
              <w:t>仅自动赎回。本产品以182天为1个投资周期，客户份额持有时间达到182天，系统自动发起赎回。</w:t>
            </w:r>
            <w:r>
              <w:rPr>
                <w:rFonts w:hint="eastAsia" w:ascii="楷体" w:hAnsi="楷体" w:eastAsia="楷体" w:cs="宋体"/>
                <w:b/>
                <w:spacing w:val="-2"/>
                <w:kern w:val="0"/>
                <w:szCs w:val="21"/>
                <w:u w:val="single"/>
              </w:rPr>
              <w:t>在未按约定运作满足够天数前客户无权提前赎回份额。如份额确认日对应的182天为非工作日，</w:t>
            </w:r>
            <w:r>
              <w:rPr>
                <w:rFonts w:hint="eastAsia" w:ascii="楷体" w:hAnsi="楷体" w:eastAsia="楷体" w:cs="宋体"/>
                <w:b/>
                <w:spacing w:val="-2"/>
                <w:kern w:val="0"/>
                <w:szCs w:val="21"/>
                <w:u w:val="single"/>
                <w:lang w:val="en-US" w:eastAsia="zh-CN"/>
              </w:rPr>
              <w:t>管理人</w:t>
            </w:r>
            <w:r>
              <w:rPr>
                <w:rFonts w:hint="eastAsia" w:ascii="楷体" w:hAnsi="楷体" w:eastAsia="楷体" w:cs="宋体"/>
                <w:b/>
                <w:spacing w:val="-2"/>
                <w:kern w:val="0"/>
                <w:szCs w:val="21"/>
                <w:u w:val="single"/>
              </w:rPr>
              <w:t>将对自动赎回日进行动态调整，以</w:t>
            </w:r>
            <w:r>
              <w:rPr>
                <w:rFonts w:hint="eastAsia" w:ascii="楷体" w:hAnsi="楷体" w:eastAsia="楷体" w:cs="宋体"/>
                <w:b/>
                <w:spacing w:val="-2"/>
                <w:kern w:val="0"/>
                <w:szCs w:val="21"/>
                <w:u w:val="single"/>
                <w:lang w:val="en-US" w:eastAsia="zh-CN"/>
              </w:rPr>
              <w:t>管理人</w:t>
            </w:r>
            <w:r>
              <w:rPr>
                <w:rFonts w:hint="eastAsia" w:ascii="楷体" w:hAnsi="楷体" w:eastAsia="楷体" w:cs="宋体"/>
                <w:b/>
                <w:spacing w:val="-2"/>
                <w:kern w:val="0"/>
                <w:szCs w:val="21"/>
                <w:u w:val="single"/>
              </w:rPr>
              <w:t>的公告和系统设置为准，在此情况情形下投资周期可能会略长于或短于182天</w:t>
            </w:r>
            <w:r>
              <w:rPr>
                <w:rFonts w:hint="eastAsia" w:ascii="楷体" w:hAnsi="楷体" w:eastAsia="楷体" w:cs="宋体"/>
                <w:spacing w:val="-2"/>
                <w:kern w:val="0"/>
                <w:szCs w:val="21"/>
              </w:rPr>
              <w:t>。</w:t>
            </w:r>
            <w:r>
              <w:rPr>
                <w:rFonts w:hint="eastAsia" w:ascii="楷体" w:hAnsi="楷体" w:eastAsia="楷体" w:cs="宋体"/>
                <w:b/>
                <w:color w:val="auto"/>
                <w:spacing w:val="-2"/>
                <w:kern w:val="0"/>
                <w:szCs w:val="21"/>
                <w:highlight w:val="none"/>
                <w:u w:val="single"/>
              </w:rPr>
              <w:t>苏银理财将</w:t>
            </w:r>
            <w:r>
              <w:rPr>
                <w:rFonts w:hint="eastAsia" w:ascii="楷体" w:hAnsi="楷体" w:eastAsia="楷体" w:cs="宋体"/>
                <w:b/>
                <w:color w:val="auto"/>
                <w:spacing w:val="-2"/>
                <w:kern w:val="0"/>
                <w:szCs w:val="21"/>
                <w:highlight w:val="none"/>
                <w:u w:val="single"/>
                <w:lang w:val="en-US" w:eastAsia="zh-CN"/>
              </w:rPr>
              <w:t>提前进行公告，客户可根据自身需要自主选择购买</w:t>
            </w:r>
            <w:r>
              <w:rPr>
                <w:rFonts w:hint="eastAsia" w:ascii="楷体" w:hAnsi="楷体" w:eastAsia="楷体" w:cs="宋体"/>
                <w:spacing w:val="-2"/>
                <w:kern w:val="0"/>
                <w:szCs w:val="21"/>
                <w:highlight w:val="none"/>
              </w:rPr>
              <w:t>。</w:t>
            </w:r>
            <w:r>
              <w:rPr>
                <w:rFonts w:hint="eastAsia" w:ascii="楷体" w:hAnsi="楷体" w:eastAsia="楷体" w:cs="宋体"/>
                <w:spacing w:val="-2"/>
                <w:kern w:val="0"/>
                <w:szCs w:val="21"/>
              </w:rPr>
              <w:t>自动赎回时按实际赎回日前一工作日产品单位净值计算客户赎回兑付金额，自动赎回不受巨额赎回限制。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4"/>
              <w:kinsoku w:val="0"/>
              <w:overflowPunct w:val="0"/>
              <w:spacing w:before="12"/>
              <w:ind w:left="2"/>
              <w:rPr>
                <w:rFonts w:hint="eastAsia" w:ascii="楷体" w:hAnsi="楷体" w:eastAsia="楷体" w:cs="宋体"/>
                <w:spacing w:val="-2"/>
                <w:sz w:val="21"/>
                <w:szCs w:val="21"/>
              </w:rPr>
            </w:pPr>
            <w:r>
              <w:rPr>
                <w:rFonts w:hint="eastAsia" w:ascii="楷体" w:hAnsi="楷体" w:eastAsia="楷体" w:cs="宋体"/>
                <w:b/>
                <w:spacing w:val="-2"/>
                <w:sz w:val="21"/>
                <w:szCs w:val="21"/>
              </w:rPr>
              <w:t>认购/申购资金的清算</w:t>
            </w:r>
          </w:p>
        </w:tc>
        <w:tc>
          <w:tcPr>
            <w:tcW w:w="6468" w:type="dxa"/>
            <w:noWrap w:val="0"/>
            <w:vAlign w:val="center"/>
          </w:tcPr>
          <w:p>
            <w:pPr>
              <w:jc w:val="left"/>
              <w:rPr>
                <w:rFonts w:hint="eastAsia" w:ascii="楷体" w:hAnsi="楷体" w:eastAsia="楷体" w:cs="宋体"/>
                <w:spacing w:val="-2"/>
                <w:kern w:val="0"/>
                <w:szCs w:val="21"/>
              </w:rPr>
            </w:pPr>
            <w:r>
              <w:rPr>
                <w:rFonts w:hint="eastAsia" w:ascii="楷体" w:hAnsi="楷体" w:eastAsia="楷体" w:cs="宋体"/>
                <w:spacing w:val="-2"/>
                <w:kern w:val="0"/>
                <w:szCs w:val="21"/>
              </w:rPr>
              <w:t>1、投资者提出认购/申购申请后，投资者认购/申购资金将会冻结在投资者资金账户上。冻结期间资金利息根据《理财产品（代理）销售协议书》相关条款确定。</w:t>
            </w:r>
          </w:p>
          <w:p>
            <w:pPr>
              <w:jc w:val="left"/>
              <w:rPr>
                <w:rFonts w:hint="eastAsia" w:ascii="楷体" w:hAnsi="楷体" w:eastAsia="楷体" w:cs="宋体"/>
                <w:spacing w:val="-2"/>
                <w:kern w:val="0"/>
                <w:szCs w:val="21"/>
              </w:rPr>
            </w:pPr>
            <w:r>
              <w:rPr>
                <w:rFonts w:hint="eastAsia" w:ascii="楷体" w:hAnsi="楷体" w:eastAsia="楷体" w:cs="宋体"/>
                <w:spacing w:val="-2"/>
                <w:kern w:val="0"/>
                <w:szCs w:val="21"/>
              </w:rPr>
              <w:t>2、管理人在份额确认日通知销售机构扣划投资者认购/申购资金，投资者应在扣款前保证资金账户中拥有足够可用余额。因投资者资金账户余额不足、司法冻结、不可抗力因素或其他不可归责于苏银理财和销售机构的事由出现，造成扣款失败，认购/申购申请未被确认的，苏银理财和销售机构不承担任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4"/>
              <w:kinsoku w:val="0"/>
              <w:overflowPunct w:val="0"/>
              <w:spacing w:before="12"/>
              <w:ind w:left="2"/>
              <w:rPr>
                <w:rFonts w:hint="eastAsia" w:ascii="楷体" w:hAnsi="楷体" w:eastAsia="楷体" w:cs="宋体"/>
                <w:b/>
                <w:spacing w:val="-2"/>
                <w:sz w:val="21"/>
                <w:szCs w:val="21"/>
              </w:rPr>
            </w:pPr>
            <w:r>
              <w:rPr>
                <w:rFonts w:hint="eastAsia" w:ascii="楷体" w:hAnsi="楷体" w:eastAsia="楷体" w:cs="宋体"/>
                <w:b/>
                <w:spacing w:val="-2"/>
                <w:sz w:val="21"/>
                <w:szCs w:val="21"/>
              </w:rPr>
              <w:t>认购/申购份额的计算</w:t>
            </w:r>
          </w:p>
        </w:tc>
        <w:tc>
          <w:tcPr>
            <w:tcW w:w="6468" w:type="dxa"/>
            <w:noWrap w:val="0"/>
            <w:vAlign w:val="center"/>
          </w:tcPr>
          <w:p>
            <w:pPr>
              <w:pStyle w:val="34"/>
              <w:kinsoku w:val="0"/>
              <w:overflowPunct w:val="0"/>
              <w:spacing w:before="12"/>
              <w:rPr>
                <w:rFonts w:hint="eastAsia" w:ascii="楷体" w:hAnsi="楷体" w:eastAsia="楷体" w:cs="宋体"/>
                <w:spacing w:val="-2"/>
                <w:sz w:val="21"/>
                <w:szCs w:val="21"/>
              </w:rPr>
            </w:pPr>
            <w:r>
              <w:rPr>
                <w:rFonts w:hint="eastAsia" w:ascii="楷体" w:hAnsi="楷体" w:eastAsia="楷体" w:cs="宋体"/>
                <w:spacing w:val="-2"/>
                <w:sz w:val="21"/>
                <w:szCs w:val="21"/>
              </w:rPr>
              <w:t>详见下文“十、产品运作”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4"/>
              <w:kinsoku w:val="0"/>
              <w:overflowPunct w:val="0"/>
              <w:spacing w:before="12"/>
              <w:ind w:left="2"/>
              <w:rPr>
                <w:rFonts w:hint="eastAsia" w:ascii="楷体" w:hAnsi="楷体" w:eastAsia="楷体" w:cs="宋体"/>
                <w:b/>
                <w:spacing w:val="-2"/>
                <w:sz w:val="21"/>
                <w:szCs w:val="21"/>
              </w:rPr>
            </w:pPr>
            <w:r>
              <w:rPr>
                <w:rFonts w:hint="eastAsia" w:ascii="楷体" w:hAnsi="楷体" w:eastAsia="楷体" w:cs="宋体"/>
                <w:b/>
                <w:spacing w:val="-2"/>
                <w:sz w:val="21"/>
                <w:szCs w:val="21"/>
              </w:rPr>
              <w:t>赎回资金的清算</w:t>
            </w:r>
          </w:p>
        </w:tc>
        <w:tc>
          <w:tcPr>
            <w:tcW w:w="6468" w:type="dxa"/>
            <w:noWrap w:val="0"/>
            <w:vAlign w:val="center"/>
          </w:tcPr>
          <w:p>
            <w:pPr>
              <w:pStyle w:val="34"/>
              <w:kinsoku w:val="0"/>
              <w:overflowPunct w:val="0"/>
              <w:spacing w:before="12"/>
              <w:rPr>
                <w:rFonts w:hint="eastAsia" w:ascii="楷体" w:hAnsi="楷体" w:eastAsia="楷体" w:cs="宋体"/>
                <w:spacing w:val="-2"/>
                <w:sz w:val="21"/>
                <w:szCs w:val="21"/>
              </w:rPr>
            </w:pPr>
            <w:r>
              <w:rPr>
                <w:rFonts w:hint="eastAsia" w:ascii="楷体" w:hAnsi="楷体" w:eastAsia="楷体" w:cs="宋体"/>
                <w:spacing w:val="-2"/>
                <w:sz w:val="21"/>
                <w:szCs w:val="21"/>
              </w:rPr>
              <w:t>投资者赎回资金将在赎回申请确认日后2个工作日内到达投资者资金账户。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4"/>
              <w:kinsoku w:val="0"/>
              <w:overflowPunct w:val="0"/>
              <w:spacing w:before="12"/>
              <w:ind w:left="2"/>
              <w:rPr>
                <w:rFonts w:hint="eastAsia" w:ascii="楷体" w:hAnsi="楷体" w:eastAsia="楷体" w:cs="宋体"/>
                <w:b/>
                <w:spacing w:val="-2"/>
                <w:sz w:val="21"/>
                <w:szCs w:val="21"/>
              </w:rPr>
            </w:pPr>
            <w:r>
              <w:rPr>
                <w:rFonts w:hint="eastAsia" w:ascii="楷体" w:hAnsi="楷体" w:eastAsia="楷体" w:cs="宋体"/>
                <w:b/>
                <w:spacing w:val="-2"/>
                <w:sz w:val="21"/>
                <w:szCs w:val="21"/>
              </w:rPr>
              <w:t>赎回金额的计算</w:t>
            </w:r>
          </w:p>
        </w:tc>
        <w:tc>
          <w:tcPr>
            <w:tcW w:w="6468" w:type="dxa"/>
            <w:noWrap w:val="0"/>
            <w:vAlign w:val="center"/>
          </w:tcPr>
          <w:p>
            <w:pPr>
              <w:pStyle w:val="34"/>
              <w:kinsoku w:val="0"/>
              <w:overflowPunct w:val="0"/>
              <w:spacing w:before="12"/>
              <w:rPr>
                <w:rFonts w:hint="eastAsia" w:ascii="楷体" w:hAnsi="楷体" w:eastAsia="楷体" w:cs="宋体"/>
                <w:spacing w:val="-2"/>
                <w:sz w:val="21"/>
                <w:szCs w:val="21"/>
              </w:rPr>
            </w:pPr>
            <w:r>
              <w:rPr>
                <w:rFonts w:hint="eastAsia" w:ascii="楷体" w:hAnsi="楷体" w:eastAsia="楷体" w:cs="宋体"/>
                <w:b/>
                <w:bCs/>
                <w:spacing w:val="-2"/>
                <w:sz w:val="21"/>
                <w:szCs w:val="21"/>
                <w:u w:val="single"/>
              </w:rPr>
              <w:t>投资者持仓份额的产品净值可能含有未收取的超额业绩报酬，自动赎回兑付金额以实际入账金额为准。</w:t>
            </w:r>
            <w:r>
              <w:rPr>
                <w:rFonts w:hint="eastAsia" w:ascii="楷体" w:hAnsi="楷体" w:eastAsia="楷体" w:cs="宋体"/>
                <w:spacing w:val="-2"/>
                <w:sz w:val="21"/>
                <w:szCs w:val="21"/>
              </w:rPr>
              <w:t>详见下文“十、产品运作”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4"/>
              <w:kinsoku w:val="0"/>
              <w:overflowPunct w:val="0"/>
              <w:spacing w:before="12"/>
              <w:ind w:left="2"/>
              <w:rPr>
                <w:rFonts w:hint="eastAsia" w:ascii="楷体" w:hAnsi="楷体" w:eastAsia="楷体" w:cs="宋体"/>
                <w:b/>
                <w:spacing w:val="-2"/>
                <w:sz w:val="21"/>
                <w:szCs w:val="21"/>
              </w:rPr>
            </w:pPr>
            <w:r>
              <w:rPr>
                <w:rFonts w:hint="eastAsia" w:ascii="楷体" w:hAnsi="楷体" w:eastAsia="楷体" w:cs="宋体"/>
                <w:b/>
                <w:spacing w:val="-2"/>
                <w:sz w:val="21"/>
                <w:szCs w:val="21"/>
              </w:rPr>
              <w:t>终止日</w:t>
            </w:r>
          </w:p>
        </w:tc>
        <w:tc>
          <w:tcPr>
            <w:tcW w:w="6468" w:type="dxa"/>
            <w:noWrap w:val="0"/>
            <w:vAlign w:val="center"/>
          </w:tcPr>
          <w:p>
            <w:pPr>
              <w:pStyle w:val="34"/>
              <w:rPr>
                <w:rFonts w:hint="eastAsia" w:ascii="楷体" w:hAnsi="楷体" w:eastAsia="楷体" w:cs="宋体"/>
                <w:spacing w:val="-2"/>
                <w:sz w:val="21"/>
                <w:szCs w:val="21"/>
              </w:rPr>
            </w:pPr>
            <w:r>
              <w:rPr>
                <w:rFonts w:hint="eastAsia" w:ascii="楷体" w:hAnsi="楷体" w:eastAsia="楷体" w:cs="宋体"/>
                <w:spacing w:val="-2"/>
                <w:sz w:val="21"/>
                <w:szCs w:val="21"/>
              </w:rPr>
              <w:t>2038年9月3日（如遇节假日，顺延至下一工作日）</w:t>
            </w:r>
          </w:p>
          <w:p>
            <w:pPr>
              <w:pStyle w:val="34"/>
              <w:rPr>
                <w:rFonts w:hint="eastAsia" w:ascii="楷体" w:hAnsi="楷体" w:eastAsia="楷体" w:cs="宋体"/>
                <w:spacing w:val="-2"/>
                <w:sz w:val="21"/>
                <w:szCs w:val="21"/>
              </w:rPr>
            </w:pPr>
            <w:r>
              <w:rPr>
                <w:rFonts w:hint="eastAsia" w:ascii="楷体" w:hAnsi="楷体" w:eastAsia="楷体" w:cs="宋体"/>
                <w:spacing w:val="-2"/>
                <w:sz w:val="21"/>
                <w:szCs w:val="21"/>
              </w:rPr>
              <w:t>在符合本理财产品说明书约定的条件下，管理人有权提前终止该产品，产品到期日受制于提前终止条款。详见下文“十</w:t>
            </w:r>
            <w:r>
              <w:rPr>
                <w:rFonts w:hint="eastAsia" w:ascii="楷体" w:hAnsi="楷体" w:eastAsia="楷体" w:cs="宋体"/>
                <w:spacing w:val="-2"/>
                <w:sz w:val="21"/>
                <w:szCs w:val="21"/>
                <w:lang w:val="en-US" w:eastAsia="zh-CN"/>
              </w:rPr>
              <w:t>一</w:t>
            </w:r>
            <w:r>
              <w:rPr>
                <w:rFonts w:hint="eastAsia" w:ascii="楷体" w:hAnsi="楷体" w:eastAsia="楷体" w:cs="宋体"/>
                <w:spacing w:val="-2"/>
                <w:sz w:val="21"/>
                <w:szCs w:val="21"/>
              </w:rPr>
              <w:t>、产品的终止与清算”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6" w:hRule="atLeast"/>
          <w:jc w:val="center"/>
        </w:trPr>
        <w:tc>
          <w:tcPr>
            <w:tcW w:w="1848" w:type="dxa"/>
            <w:noWrap w:val="0"/>
            <w:vAlign w:val="center"/>
          </w:tcPr>
          <w:p>
            <w:pPr>
              <w:pStyle w:val="34"/>
              <w:kinsoku w:val="0"/>
              <w:overflowPunct w:val="0"/>
              <w:spacing w:before="18"/>
              <w:ind w:left="4"/>
              <w:rPr>
                <w:rFonts w:ascii="楷体" w:hAnsi="楷体" w:eastAsia="楷体" w:cs="宋体"/>
                <w:b/>
                <w:spacing w:val="-2"/>
                <w:sz w:val="21"/>
                <w:szCs w:val="21"/>
              </w:rPr>
            </w:pPr>
            <w:r>
              <w:rPr>
                <w:rFonts w:hint="eastAsia" w:ascii="楷体" w:hAnsi="楷体" w:eastAsia="楷体" w:cs="宋体"/>
                <w:b/>
                <w:spacing w:val="-2"/>
                <w:sz w:val="21"/>
                <w:szCs w:val="21"/>
              </w:rPr>
              <w:t>业绩比较基准（</w:t>
            </w:r>
            <w:r>
              <w:rPr>
                <w:rFonts w:hint="eastAsia" w:ascii="楷体" w:hAnsi="楷体" w:eastAsia="楷体" w:cs="宋体"/>
                <w:spacing w:val="-2"/>
                <w:szCs w:val="21"/>
              </w:rPr>
              <w:t>R）</w:t>
            </w:r>
          </w:p>
          <w:p>
            <w:pPr>
              <w:pStyle w:val="34"/>
              <w:kinsoku w:val="0"/>
              <w:overflowPunct w:val="0"/>
              <w:spacing w:before="18"/>
              <w:ind w:left="4"/>
              <w:rPr>
                <w:rFonts w:ascii="楷体" w:hAnsi="楷体" w:eastAsia="楷体" w:cs="宋体"/>
                <w:b/>
                <w:spacing w:val="-2"/>
                <w:sz w:val="21"/>
                <w:szCs w:val="21"/>
              </w:rPr>
            </w:pPr>
            <w:r>
              <w:rPr>
                <w:rFonts w:hint="eastAsia" w:ascii="楷体" w:hAnsi="楷体" w:eastAsia="楷体" w:cs="宋体"/>
                <w:b/>
                <w:spacing w:val="-2"/>
                <w:sz w:val="21"/>
                <w:szCs w:val="21"/>
              </w:rPr>
              <w:t>（年化）</w:t>
            </w:r>
          </w:p>
        </w:tc>
        <w:tc>
          <w:tcPr>
            <w:tcW w:w="6468" w:type="dxa"/>
            <w:noWrap w:val="0"/>
            <w:vAlign w:val="center"/>
          </w:tcPr>
          <w:p>
            <w:pPr>
              <w:pStyle w:val="34"/>
              <w:spacing w:before="37" w:line="273" w:lineRule="auto"/>
              <w:ind w:right="103"/>
              <w:rPr>
                <w:rFonts w:hint="eastAsia" w:ascii="楷体" w:hAnsi="楷体" w:eastAsia="楷体" w:cs="宋体"/>
                <w:spacing w:val="-2"/>
                <w:sz w:val="21"/>
                <w:szCs w:val="21"/>
                <w:lang w:val="en-US" w:eastAsia="zh-CN"/>
              </w:rPr>
            </w:pPr>
            <w:r>
              <w:rPr>
                <w:rFonts w:hint="eastAsia" w:ascii="楷体" w:hAnsi="楷体" w:eastAsia="楷体" w:cs="宋体"/>
                <w:spacing w:val="-2"/>
                <w:sz w:val="21"/>
                <w:szCs w:val="21"/>
              </w:rPr>
              <w:t>芙蓉锦程·优选份额</w:t>
            </w:r>
            <w:r>
              <w:rPr>
                <w:rFonts w:hint="eastAsia" w:ascii="楷体" w:hAnsi="楷体" w:eastAsia="楷体" w:cs="宋体"/>
                <w:spacing w:val="-2"/>
                <w:sz w:val="21"/>
                <w:szCs w:val="21"/>
                <w:lang w:val="en-US" w:eastAsia="zh-CN"/>
              </w:rPr>
              <w:t>：2.20%-3.00%</w:t>
            </w:r>
          </w:p>
          <w:p>
            <w:pPr>
              <w:pStyle w:val="34"/>
              <w:spacing w:before="37" w:line="273" w:lineRule="auto"/>
              <w:ind w:right="103"/>
              <w:rPr>
                <w:rFonts w:ascii="楷体" w:hAnsi="楷体" w:eastAsia="楷体" w:cs="宋体"/>
                <w:spacing w:val="-2"/>
                <w:sz w:val="21"/>
                <w:szCs w:val="21"/>
              </w:rPr>
            </w:pPr>
            <w:r>
              <w:rPr>
                <w:rFonts w:hint="eastAsia" w:ascii="楷体" w:hAnsi="楷体" w:eastAsia="楷体" w:cs="宋体"/>
                <w:spacing w:val="-2"/>
                <w:sz w:val="21"/>
                <w:szCs w:val="21"/>
                <w:lang w:val="en-US" w:eastAsia="zh-CN"/>
              </w:rPr>
              <w:t>Z份额</w:t>
            </w:r>
            <w:r>
              <w:rPr>
                <w:rFonts w:hint="eastAsia" w:ascii="楷体" w:hAnsi="楷体" w:eastAsia="楷体" w:cs="宋体"/>
                <w:spacing w:val="-2"/>
                <w:sz w:val="21"/>
                <w:szCs w:val="21"/>
              </w:rPr>
              <w:t>：</w:t>
            </w:r>
            <w:r>
              <w:rPr>
                <w:rFonts w:hint="eastAsia" w:ascii="楷体" w:hAnsi="楷体" w:eastAsia="楷体" w:cs="宋体"/>
                <w:spacing w:val="-2"/>
                <w:sz w:val="21"/>
                <w:szCs w:val="21"/>
                <w:lang w:val="en-US" w:eastAsia="zh-CN"/>
              </w:rPr>
              <w:t>2.20%-3.00%</w:t>
            </w:r>
          </w:p>
          <w:p>
            <w:pPr>
              <w:pStyle w:val="34"/>
              <w:spacing w:before="37" w:line="273" w:lineRule="auto"/>
              <w:ind w:right="103"/>
              <w:rPr>
                <w:rFonts w:ascii="楷体" w:hAnsi="楷体" w:eastAsia="楷体" w:cs="宋体"/>
                <w:spacing w:val="-2"/>
                <w:sz w:val="21"/>
                <w:szCs w:val="21"/>
              </w:rPr>
            </w:pPr>
            <w:r>
              <w:rPr>
                <w:rFonts w:hint="eastAsia" w:ascii="楷体" w:hAnsi="楷体" w:eastAsia="楷体" w:cs="宋体"/>
                <w:spacing w:val="-2"/>
                <w:sz w:val="21"/>
                <w:szCs w:val="21"/>
                <w:lang w:val="en-US" w:eastAsia="zh-CN"/>
              </w:rPr>
              <w:t>Q份额</w:t>
            </w:r>
            <w:r>
              <w:rPr>
                <w:rFonts w:hint="eastAsia" w:ascii="楷体" w:hAnsi="楷体" w:eastAsia="楷体" w:cs="宋体"/>
                <w:spacing w:val="-2"/>
                <w:sz w:val="21"/>
                <w:szCs w:val="21"/>
              </w:rPr>
              <w:t>：</w:t>
            </w:r>
            <w:r>
              <w:rPr>
                <w:rFonts w:hint="eastAsia" w:ascii="楷体" w:hAnsi="楷体" w:eastAsia="楷体" w:cs="宋体"/>
                <w:spacing w:val="-2"/>
                <w:sz w:val="21"/>
                <w:szCs w:val="21"/>
                <w:lang w:val="en-US" w:eastAsia="zh-CN"/>
              </w:rPr>
              <w:t>2.20%-3.00%</w:t>
            </w:r>
          </w:p>
          <w:p>
            <w:pPr>
              <w:pStyle w:val="34"/>
              <w:spacing w:before="37" w:line="273" w:lineRule="auto"/>
              <w:ind w:right="103"/>
              <w:rPr>
                <w:rFonts w:ascii="楷体" w:hAnsi="楷体" w:eastAsia="楷体" w:cs="宋体"/>
                <w:spacing w:val="-2"/>
                <w:sz w:val="21"/>
                <w:szCs w:val="21"/>
              </w:rPr>
            </w:pPr>
            <w:r>
              <w:rPr>
                <w:rFonts w:hint="eastAsia" w:ascii="楷体" w:hAnsi="楷体" w:eastAsia="楷体" w:cs="宋体"/>
                <w:spacing w:val="-2"/>
                <w:sz w:val="21"/>
                <w:szCs w:val="21"/>
                <w:lang w:val="en-US" w:eastAsia="zh-CN"/>
              </w:rPr>
              <w:t>JS份额</w:t>
            </w:r>
            <w:r>
              <w:rPr>
                <w:rFonts w:hint="eastAsia" w:ascii="楷体" w:hAnsi="楷体" w:eastAsia="楷体" w:cs="宋体"/>
                <w:spacing w:val="-2"/>
                <w:sz w:val="21"/>
                <w:szCs w:val="21"/>
              </w:rPr>
              <w:t>：</w:t>
            </w:r>
            <w:r>
              <w:rPr>
                <w:rFonts w:hint="eastAsia" w:ascii="楷体" w:hAnsi="楷体" w:eastAsia="楷体" w:cs="宋体"/>
                <w:spacing w:val="-2"/>
                <w:sz w:val="21"/>
                <w:szCs w:val="21"/>
                <w:lang w:val="en-US" w:eastAsia="zh-CN"/>
              </w:rPr>
              <w:t>2.30%-3.10%</w:t>
            </w:r>
          </w:p>
          <w:p>
            <w:pPr>
              <w:pStyle w:val="34"/>
              <w:spacing w:before="37" w:line="273" w:lineRule="auto"/>
              <w:ind w:right="103"/>
              <w:rPr>
                <w:rFonts w:hint="eastAsia" w:ascii="楷体" w:hAnsi="楷体" w:eastAsia="楷体" w:cs="宋体"/>
                <w:spacing w:val="-2"/>
                <w:sz w:val="21"/>
                <w:szCs w:val="21"/>
                <w:lang w:val="en-US" w:eastAsia="zh-CN"/>
              </w:rPr>
            </w:pPr>
            <w:r>
              <w:rPr>
                <w:rFonts w:hint="eastAsia" w:ascii="楷体" w:hAnsi="楷体" w:eastAsia="楷体" w:cs="宋体"/>
                <w:spacing w:val="-2"/>
                <w:sz w:val="21"/>
                <w:szCs w:val="21"/>
              </w:rPr>
              <w:t>芙蓉锦程·优选</w:t>
            </w:r>
            <w:r>
              <w:rPr>
                <w:rFonts w:hint="eastAsia" w:ascii="楷体" w:hAnsi="楷体" w:eastAsia="楷体" w:cs="宋体"/>
                <w:spacing w:val="-2"/>
                <w:sz w:val="21"/>
                <w:szCs w:val="21"/>
                <w:lang w:val="en-US" w:eastAsia="zh-CN"/>
              </w:rPr>
              <w:t>-尊享款</w:t>
            </w:r>
            <w:r>
              <w:rPr>
                <w:rFonts w:hint="eastAsia" w:ascii="楷体" w:hAnsi="楷体" w:eastAsia="楷体" w:cs="宋体"/>
                <w:spacing w:val="-2"/>
                <w:sz w:val="21"/>
                <w:szCs w:val="21"/>
              </w:rPr>
              <w:t>份额</w:t>
            </w:r>
            <w:r>
              <w:rPr>
                <w:rFonts w:hint="eastAsia" w:ascii="楷体" w:hAnsi="楷体" w:eastAsia="楷体" w:cs="宋体"/>
                <w:spacing w:val="-2"/>
                <w:sz w:val="21"/>
                <w:szCs w:val="21"/>
                <w:lang w:eastAsia="zh-CN"/>
              </w:rPr>
              <w:t>：</w:t>
            </w:r>
            <w:r>
              <w:rPr>
                <w:rFonts w:hint="eastAsia" w:ascii="楷体" w:hAnsi="楷体" w:eastAsia="楷体" w:cs="宋体"/>
                <w:spacing w:val="-2"/>
                <w:sz w:val="21"/>
                <w:szCs w:val="21"/>
                <w:lang w:val="en-US" w:eastAsia="zh-CN"/>
              </w:rPr>
              <w:t>2.45%-3.25%</w:t>
            </w:r>
          </w:p>
          <w:p>
            <w:pPr>
              <w:pStyle w:val="34"/>
              <w:spacing w:before="37" w:line="273" w:lineRule="auto"/>
              <w:ind w:right="103"/>
              <w:rPr>
                <w:rFonts w:hint="eastAsia" w:ascii="楷体" w:hAnsi="楷体" w:eastAsia="楷体" w:cs="宋体"/>
                <w:spacing w:val="-2"/>
                <w:sz w:val="21"/>
                <w:szCs w:val="21"/>
                <w:lang w:val="en-US" w:eastAsia="zh-CN"/>
              </w:rPr>
            </w:pPr>
            <w:r>
              <w:rPr>
                <w:rFonts w:hint="eastAsia" w:ascii="楷体" w:hAnsi="楷体" w:eastAsia="楷体" w:cs="宋体"/>
                <w:spacing w:val="-2"/>
                <w:sz w:val="21"/>
                <w:szCs w:val="21"/>
                <w:lang w:val="en-US" w:eastAsia="zh-CN"/>
              </w:rPr>
              <w:t>北部湾银行专属</w:t>
            </w:r>
            <w:r>
              <w:rPr>
                <w:rFonts w:hint="eastAsia" w:ascii="楷体" w:hAnsi="楷体" w:eastAsia="楷体" w:cs="宋体"/>
                <w:spacing w:val="-2"/>
                <w:sz w:val="21"/>
                <w:szCs w:val="21"/>
              </w:rPr>
              <w:t>份额</w:t>
            </w:r>
            <w:r>
              <w:rPr>
                <w:rFonts w:hint="eastAsia" w:ascii="楷体" w:hAnsi="楷体" w:eastAsia="楷体" w:cs="宋体"/>
                <w:spacing w:val="-2"/>
                <w:sz w:val="21"/>
                <w:szCs w:val="21"/>
                <w:lang w:eastAsia="zh-CN"/>
              </w:rPr>
              <w:t>：</w:t>
            </w:r>
            <w:r>
              <w:rPr>
                <w:rFonts w:hint="eastAsia" w:ascii="楷体" w:hAnsi="楷体" w:eastAsia="楷体" w:cs="宋体"/>
                <w:spacing w:val="-2"/>
                <w:sz w:val="21"/>
                <w:szCs w:val="21"/>
                <w:lang w:val="en-US" w:eastAsia="zh-CN"/>
              </w:rPr>
              <w:t>2.25%-3.05%</w:t>
            </w:r>
          </w:p>
          <w:p>
            <w:pPr>
              <w:pStyle w:val="34"/>
              <w:spacing w:before="37" w:line="273" w:lineRule="auto"/>
              <w:ind w:right="103"/>
              <w:rPr>
                <w:rFonts w:hint="default" w:ascii="楷体" w:hAnsi="楷体" w:eastAsia="楷体" w:cs="宋体"/>
                <w:spacing w:val="-2"/>
                <w:sz w:val="21"/>
                <w:szCs w:val="21"/>
                <w:lang w:val="en-US" w:eastAsia="zh-CN"/>
              </w:rPr>
            </w:pPr>
            <w:r>
              <w:rPr>
                <w:rFonts w:hint="eastAsia" w:ascii="楷体" w:hAnsi="楷体" w:eastAsia="楷体" w:cs="宋体"/>
                <w:spacing w:val="-2"/>
                <w:sz w:val="21"/>
                <w:szCs w:val="21"/>
                <w:lang w:val="en-US" w:eastAsia="zh-CN"/>
              </w:rPr>
              <w:t>P份额</w:t>
            </w:r>
            <w:r>
              <w:rPr>
                <w:rFonts w:hint="eastAsia" w:ascii="楷体" w:hAnsi="楷体" w:eastAsia="楷体" w:cs="宋体"/>
                <w:spacing w:val="-2"/>
                <w:sz w:val="21"/>
                <w:szCs w:val="21"/>
              </w:rPr>
              <w:t>：</w:t>
            </w:r>
            <w:r>
              <w:rPr>
                <w:rFonts w:hint="eastAsia" w:ascii="楷体" w:hAnsi="楷体" w:eastAsia="楷体" w:cs="宋体"/>
                <w:spacing w:val="-2"/>
                <w:sz w:val="21"/>
                <w:szCs w:val="21"/>
                <w:lang w:val="en-US" w:eastAsia="zh-CN"/>
              </w:rPr>
              <w:t>2.40%-3.20%</w:t>
            </w:r>
          </w:p>
          <w:p>
            <w:pPr>
              <w:pStyle w:val="34"/>
              <w:spacing w:before="37" w:line="273" w:lineRule="auto"/>
              <w:ind w:left="103" w:right="103"/>
              <w:rPr>
                <w:rFonts w:hint="eastAsia" w:ascii="楷体" w:hAnsi="楷体" w:eastAsia="楷体" w:cs="宋体"/>
                <w:spacing w:val="-2"/>
                <w:sz w:val="21"/>
                <w:szCs w:val="21"/>
              </w:rPr>
            </w:pPr>
            <w:r>
              <w:rPr>
                <w:rFonts w:hint="eastAsia" w:ascii="楷体" w:hAnsi="楷体" w:eastAsia="楷体" w:cs="宋体"/>
                <w:b/>
                <w:spacing w:val="-2"/>
                <w:sz w:val="21"/>
                <w:szCs w:val="21"/>
                <w:u w:val="single"/>
              </w:rPr>
              <w:t>产品存续期内管理人有权根据产品投资运作情况、市场情况调整业绩比较基准，并至少于调整前</w:t>
            </w:r>
            <w:r>
              <w:rPr>
                <w:rFonts w:hint="eastAsia" w:ascii="楷体" w:hAnsi="楷体" w:eastAsia="楷体" w:cs="宋体"/>
                <w:b/>
                <w:spacing w:val="-2"/>
                <w:sz w:val="21"/>
                <w:szCs w:val="21"/>
                <w:u w:val="single"/>
                <w:lang w:val="en-US" w:eastAsia="zh-CN"/>
              </w:rPr>
              <w:t>2</w:t>
            </w:r>
            <w:r>
              <w:rPr>
                <w:rFonts w:hint="eastAsia" w:ascii="楷体" w:hAnsi="楷体" w:eastAsia="楷体" w:cs="宋体"/>
                <w:b/>
                <w:spacing w:val="-2"/>
                <w:sz w:val="21"/>
                <w:szCs w:val="21"/>
                <w:u w:val="single"/>
              </w:rPr>
              <w:t>个工作日发布调整公告，如有调整以管理人公告为准。调整后的产品业绩比较基准适用于新确认份额，为管理人新设定的投资目标。</w:t>
            </w:r>
          </w:p>
          <w:p>
            <w:pPr>
              <w:pStyle w:val="34"/>
              <w:spacing w:before="37" w:line="273" w:lineRule="auto"/>
              <w:ind w:left="103" w:right="103"/>
              <w:rPr>
                <w:rFonts w:ascii="楷体" w:hAnsi="楷体" w:eastAsia="楷体" w:cs="宋体"/>
                <w:spacing w:val="-2"/>
                <w:sz w:val="21"/>
                <w:szCs w:val="21"/>
              </w:rPr>
            </w:pPr>
            <w:r>
              <w:rPr>
                <w:rFonts w:hint="eastAsia" w:ascii="楷体" w:hAnsi="楷体" w:eastAsia="楷体" w:cs="宋体"/>
                <w:spacing w:val="-2"/>
                <w:sz w:val="21"/>
                <w:szCs w:val="21"/>
              </w:rPr>
              <w:t>（管理人</w:t>
            </w:r>
            <w:r>
              <w:rPr>
                <w:rFonts w:ascii="楷体" w:hAnsi="楷体" w:eastAsia="楷体" w:cs="宋体"/>
                <w:spacing w:val="-2"/>
                <w:sz w:val="21"/>
                <w:szCs w:val="21"/>
              </w:rPr>
              <w:t>参考过往投资经验，依据近期货币市场工具、债券等资产</w:t>
            </w:r>
            <w:r>
              <w:rPr>
                <w:rFonts w:hint="eastAsia" w:ascii="楷体" w:hAnsi="楷体" w:eastAsia="楷体" w:cs="宋体"/>
                <w:spacing w:val="-2"/>
                <w:sz w:val="21"/>
                <w:szCs w:val="21"/>
              </w:rPr>
              <w:t>投资</w:t>
            </w:r>
            <w:r>
              <w:rPr>
                <w:rFonts w:ascii="楷体" w:hAnsi="楷体" w:eastAsia="楷体" w:cs="宋体"/>
                <w:spacing w:val="-2"/>
                <w:sz w:val="21"/>
                <w:szCs w:val="21"/>
              </w:rPr>
              <w:t>收益水平，在产品说明书约定的投资范围和投资比例内</w:t>
            </w:r>
            <w:r>
              <w:rPr>
                <w:rFonts w:hint="eastAsia" w:ascii="楷体" w:hAnsi="楷体" w:eastAsia="楷体" w:cs="宋体"/>
                <w:spacing w:val="-2"/>
                <w:sz w:val="21"/>
                <w:szCs w:val="21"/>
              </w:rPr>
              <w:t>，综合考虑各份额收取的</w:t>
            </w:r>
            <w:r>
              <w:rPr>
                <w:rFonts w:hint="eastAsia" w:ascii="楷体" w:hAnsi="楷体" w:eastAsia="楷体" w:cs="宋体"/>
                <w:spacing w:val="-2"/>
                <w:sz w:val="21"/>
                <w:szCs w:val="21"/>
                <w:lang w:val="en-US" w:eastAsia="zh-CN"/>
              </w:rPr>
              <w:t>费用</w:t>
            </w:r>
            <w:r>
              <w:rPr>
                <w:rFonts w:hint="eastAsia" w:ascii="楷体" w:hAnsi="楷体" w:eastAsia="楷体" w:cs="宋体"/>
                <w:spacing w:val="-2"/>
                <w:sz w:val="21"/>
                <w:szCs w:val="21"/>
              </w:rPr>
              <w:t>情况，</w:t>
            </w:r>
            <w:r>
              <w:rPr>
                <w:rFonts w:ascii="楷体" w:hAnsi="楷体" w:eastAsia="楷体" w:cs="宋体"/>
                <w:spacing w:val="-2"/>
                <w:sz w:val="21"/>
                <w:szCs w:val="21"/>
              </w:rPr>
              <w:t>模拟测算得出</w:t>
            </w:r>
            <w:r>
              <w:rPr>
                <w:rFonts w:hint="eastAsia" w:ascii="楷体" w:hAnsi="楷体" w:eastAsia="楷体" w:cs="宋体"/>
                <w:spacing w:val="-2"/>
                <w:sz w:val="21"/>
                <w:szCs w:val="21"/>
              </w:rPr>
              <w:t>业绩比较基准。）</w:t>
            </w:r>
          </w:p>
          <w:p>
            <w:pPr>
              <w:pStyle w:val="34"/>
              <w:kinsoku w:val="0"/>
              <w:overflowPunct w:val="0"/>
              <w:spacing w:before="37" w:line="273" w:lineRule="auto"/>
              <w:ind w:right="103"/>
              <w:rPr>
                <w:rFonts w:ascii="楷体" w:hAnsi="楷体" w:eastAsia="楷体" w:cs="宋体"/>
                <w:spacing w:val="-2"/>
                <w:sz w:val="21"/>
                <w:szCs w:val="21"/>
              </w:rPr>
            </w:pPr>
            <w:r>
              <w:rPr>
                <w:rFonts w:hint="eastAsia" w:ascii="楷体" w:hAnsi="楷体" w:eastAsia="楷体" w:cs="宋体"/>
                <w:b/>
                <w:spacing w:val="-2"/>
                <w:sz w:val="21"/>
                <w:szCs w:val="21"/>
                <w:u w:val="single"/>
              </w:rPr>
              <w:t>本产品为净值型产品，业绩表现将随市场波动，具有不确定性。业绩比较基准为管理人对本产品所设定的投资目标，不代表理财产品未来表现，不等于理财产品实际收益，不构成管理人对产品实际投资收益率的承诺或担保，投资者的实际收益由产品净值表现决定。产品存续期内管理人有权根据市场情况调整业绩比较基准，如有调整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4"/>
              <w:kinsoku w:val="0"/>
              <w:overflowPunct w:val="0"/>
              <w:spacing w:before="18"/>
              <w:ind w:left="4"/>
              <w:rPr>
                <w:rFonts w:ascii="楷体" w:hAnsi="楷体" w:eastAsia="楷体" w:cs="宋体"/>
                <w:spacing w:val="-2"/>
                <w:sz w:val="21"/>
                <w:szCs w:val="21"/>
              </w:rPr>
            </w:pPr>
            <w:r>
              <w:rPr>
                <w:rFonts w:hint="eastAsia" w:ascii="楷体" w:hAnsi="楷体" w:eastAsia="楷体" w:cs="宋体"/>
                <w:b/>
                <w:spacing w:val="-2"/>
                <w:sz w:val="21"/>
                <w:szCs w:val="21"/>
              </w:rPr>
              <w:t>产品费用</w:t>
            </w:r>
          </w:p>
        </w:tc>
        <w:tc>
          <w:tcPr>
            <w:tcW w:w="6468" w:type="dxa"/>
            <w:noWrap w:val="0"/>
            <w:vAlign w:val="center"/>
          </w:tcPr>
          <w:p>
            <w:pPr>
              <w:jc w:val="left"/>
              <w:rPr>
                <w:rFonts w:ascii="楷体" w:hAnsi="楷体" w:eastAsia="楷体" w:cs="宋体"/>
                <w:spacing w:val="-2"/>
                <w:szCs w:val="21"/>
              </w:rPr>
            </w:pPr>
            <w:r>
              <w:rPr>
                <w:rFonts w:hint="eastAsia" w:ascii="楷体" w:hAnsi="楷体" w:eastAsia="楷体" w:cs="宋体"/>
                <w:spacing w:val="-2"/>
                <w:szCs w:val="21"/>
              </w:rPr>
              <w:t>本产品费用包括托管费、销售服务费、投资管理费和超额业绩报酬（若有）以及产品运作和清算中产生的其他费用等。</w:t>
            </w:r>
          </w:p>
          <w:p>
            <w:pPr>
              <w:ind w:right="115" w:rightChars="55"/>
              <w:rPr>
                <w:rFonts w:ascii="楷体" w:hAnsi="楷体" w:eastAsia="楷体" w:cs="宋体"/>
                <w:spacing w:val="-2"/>
                <w:szCs w:val="21"/>
              </w:rPr>
            </w:pPr>
            <w:r>
              <w:rPr>
                <w:rFonts w:hint="eastAsia" w:ascii="楷体" w:hAnsi="楷体" w:eastAsia="楷体" w:cs="宋体"/>
                <w:spacing w:val="-2"/>
                <w:szCs w:val="21"/>
              </w:rPr>
              <w:t>1．托管费率：0.</w:t>
            </w:r>
            <w:r>
              <w:rPr>
                <w:rFonts w:ascii="楷体" w:hAnsi="楷体" w:eastAsia="楷体" w:cs="宋体"/>
                <w:spacing w:val="-2"/>
                <w:szCs w:val="21"/>
              </w:rPr>
              <w:t>02</w:t>
            </w:r>
            <w:r>
              <w:rPr>
                <w:rFonts w:hint="eastAsia" w:ascii="楷体" w:hAnsi="楷体" w:eastAsia="楷体" w:cs="宋体"/>
                <w:spacing w:val="-2"/>
                <w:szCs w:val="21"/>
              </w:rPr>
              <w:t>%/年；</w:t>
            </w:r>
          </w:p>
          <w:p>
            <w:pPr>
              <w:ind w:right="115" w:rightChars="55"/>
              <w:rPr>
                <w:rFonts w:ascii="楷体" w:hAnsi="楷体" w:eastAsia="楷体" w:cs="宋体"/>
                <w:spacing w:val="-2"/>
                <w:szCs w:val="21"/>
              </w:rPr>
            </w:pPr>
            <w:r>
              <w:rPr>
                <w:rFonts w:hint="eastAsia" w:ascii="楷体" w:hAnsi="楷体" w:eastAsia="楷体" w:cs="宋体"/>
                <w:spacing w:val="-2"/>
                <w:szCs w:val="21"/>
              </w:rPr>
              <w:t>2．销售服务费率：</w:t>
            </w:r>
            <w:r>
              <w:rPr>
                <w:rFonts w:hint="eastAsia" w:ascii="楷体" w:hAnsi="楷体" w:eastAsia="楷体" w:cs="宋体"/>
                <w:spacing w:val="-2"/>
                <w:sz w:val="21"/>
                <w:szCs w:val="21"/>
                <w:lang w:val="en-US" w:eastAsia="zh-CN"/>
              </w:rPr>
              <w:t>JS份额0.20%/年，其他份额为</w:t>
            </w:r>
            <w:r>
              <w:rPr>
                <w:rFonts w:hint="eastAsia" w:ascii="楷体" w:hAnsi="楷体" w:eastAsia="楷体" w:cs="宋体"/>
                <w:spacing w:val="-2"/>
                <w:szCs w:val="21"/>
              </w:rPr>
              <w:t>0.</w:t>
            </w:r>
            <w:r>
              <w:rPr>
                <w:rFonts w:hint="eastAsia" w:ascii="楷体" w:hAnsi="楷体" w:eastAsia="楷体" w:cs="宋体"/>
                <w:spacing w:val="-2"/>
                <w:szCs w:val="21"/>
                <w:lang w:val="en-US" w:eastAsia="zh-CN"/>
              </w:rPr>
              <w:t>3</w:t>
            </w:r>
            <w:r>
              <w:rPr>
                <w:rFonts w:hint="eastAsia" w:ascii="楷体" w:hAnsi="楷体" w:eastAsia="楷体" w:cs="宋体"/>
                <w:spacing w:val="-2"/>
                <w:szCs w:val="21"/>
              </w:rPr>
              <w:t>0%/年；</w:t>
            </w:r>
          </w:p>
          <w:p>
            <w:pPr>
              <w:ind w:right="115" w:rightChars="55"/>
              <w:rPr>
                <w:rFonts w:hint="eastAsia" w:ascii="楷体" w:hAnsi="楷体" w:eastAsia="楷体" w:cs="宋体"/>
                <w:spacing w:val="-2"/>
                <w:szCs w:val="21"/>
              </w:rPr>
            </w:pPr>
            <w:r>
              <w:rPr>
                <w:rFonts w:hint="eastAsia" w:ascii="楷体" w:hAnsi="楷体" w:eastAsia="楷体" w:cs="宋体"/>
                <w:spacing w:val="-2"/>
                <w:szCs w:val="21"/>
              </w:rPr>
              <w:t>3．投资管理费率：0.50%/年。</w:t>
            </w:r>
          </w:p>
          <w:p>
            <w:pPr>
              <w:ind w:right="115" w:rightChars="55"/>
              <w:rPr>
                <w:rFonts w:hint="eastAsia" w:ascii="楷体" w:hAnsi="楷体" w:eastAsia="楷体" w:cs="宋体"/>
                <w:spacing w:val="-2"/>
                <w:szCs w:val="21"/>
              </w:rPr>
            </w:pPr>
            <w:r>
              <w:rPr>
                <w:rFonts w:hint="eastAsia" w:ascii="楷体" w:hAnsi="楷体" w:eastAsia="楷体" w:cs="宋体"/>
                <w:spacing w:val="-2"/>
                <w:szCs w:val="21"/>
              </w:rPr>
              <w:t>4. 超额业绩报酬：客户份额持有期间净值增长率</w:t>
            </w:r>
            <w:r>
              <w:rPr>
                <w:rFonts w:hint="eastAsia" w:ascii="楷体" w:hAnsi="楷体" w:eastAsia="楷体" w:cs="宋体"/>
                <w:spacing w:val="-2"/>
                <w:szCs w:val="21"/>
                <w:lang w:val="en-US" w:eastAsia="zh-CN"/>
              </w:rPr>
              <w:t>为r，</w:t>
            </w:r>
            <w:r>
              <w:rPr>
                <w:rFonts w:hint="eastAsia" w:ascii="楷体" w:hAnsi="楷体" w:eastAsia="楷体" w:cs="宋体"/>
                <w:spacing w:val="-2"/>
                <w:szCs w:val="21"/>
              </w:rPr>
              <w:t>依据份额确认时产品单位净值、份额赎回时产品单位净值、客户份额实际运作天数折算为年化收益率（1年按365天计算）</w:t>
            </w:r>
            <w:r>
              <w:rPr>
                <w:rFonts w:hint="eastAsia" w:ascii="楷体" w:hAnsi="楷体" w:eastAsia="楷体" w:cs="宋体"/>
                <w:spacing w:val="-2"/>
                <w:szCs w:val="21"/>
                <w:lang w:eastAsia="zh-CN"/>
              </w:rPr>
              <w:t>。</w:t>
            </w:r>
            <w:r>
              <w:rPr>
                <w:rFonts w:hint="eastAsia" w:ascii="楷体" w:hAnsi="楷体" w:eastAsia="楷体" w:cs="宋体"/>
                <w:spacing w:val="-2"/>
                <w:szCs w:val="21"/>
                <w:lang w:val="en-US" w:eastAsia="zh-CN"/>
              </w:rPr>
              <w:t>若r低于业绩比较基准下限，管理人不收取超额业绩报酬；若【业绩比较基准下限≤r&lt;业绩比较基准下限+</w:t>
            </w:r>
            <w:r>
              <w:rPr>
                <w:rFonts w:hint="eastAsia" w:ascii="楷体" w:hAnsi="楷体" w:eastAsia="楷体" w:cs="宋体"/>
                <w:spacing w:val="-2"/>
                <w:szCs w:val="21"/>
              </w:rPr>
              <w:t>（业绩比较基准上限-业绩比较基准下限）</w:t>
            </w:r>
            <w:r>
              <w:rPr>
                <w:rFonts w:hint="eastAsia" w:ascii="楷体" w:hAnsi="楷体" w:eastAsia="楷体" w:cs="宋体"/>
                <w:spacing w:val="-2"/>
                <w:szCs w:val="21"/>
                <w:lang w:val="en-US" w:eastAsia="zh-CN"/>
              </w:rPr>
              <w:t>*50%】，</w:t>
            </w:r>
            <w:r>
              <w:rPr>
                <w:rFonts w:hint="eastAsia" w:ascii="楷体" w:hAnsi="楷体" w:eastAsia="楷体" w:cs="宋体"/>
                <w:spacing w:val="-2"/>
                <w:szCs w:val="21"/>
              </w:rPr>
              <w:t>管理人对超出</w:t>
            </w:r>
            <w:r>
              <w:rPr>
                <w:rFonts w:hint="eastAsia" w:ascii="楷体" w:hAnsi="楷体" w:eastAsia="楷体" w:cs="宋体"/>
                <w:spacing w:val="-2"/>
                <w:szCs w:val="21"/>
                <w:lang w:val="en-US" w:eastAsia="zh-CN"/>
              </w:rPr>
              <w:t>业绩比较基准下限的</w:t>
            </w:r>
            <w:r>
              <w:rPr>
                <w:rFonts w:hint="eastAsia" w:ascii="楷体" w:hAnsi="楷体" w:eastAsia="楷体" w:cs="宋体"/>
                <w:spacing w:val="-2"/>
                <w:szCs w:val="21"/>
              </w:rPr>
              <w:t>部分收取</w:t>
            </w:r>
            <w:r>
              <w:rPr>
                <w:rFonts w:hint="eastAsia" w:ascii="楷体" w:hAnsi="楷体" w:eastAsia="楷体" w:cs="宋体"/>
                <w:spacing w:val="-2"/>
                <w:szCs w:val="21"/>
                <w:lang w:val="en-US" w:eastAsia="zh-CN"/>
              </w:rPr>
              <w:t>3</w:t>
            </w:r>
            <w:r>
              <w:rPr>
                <w:rFonts w:hint="eastAsia" w:ascii="楷体" w:hAnsi="楷体" w:eastAsia="楷体" w:cs="宋体"/>
                <w:spacing w:val="-2"/>
                <w:szCs w:val="21"/>
              </w:rPr>
              <w:t>0%的超额业绩报酬</w:t>
            </w:r>
            <w:r>
              <w:rPr>
                <w:rFonts w:hint="eastAsia" w:ascii="楷体" w:hAnsi="楷体" w:eastAsia="楷体" w:cs="宋体"/>
                <w:spacing w:val="-2"/>
                <w:szCs w:val="21"/>
                <w:lang w:eastAsia="zh-CN"/>
              </w:rPr>
              <w:t>；</w:t>
            </w:r>
            <w:r>
              <w:rPr>
                <w:rFonts w:hint="eastAsia" w:ascii="楷体" w:hAnsi="楷体" w:eastAsia="楷体" w:cs="宋体"/>
                <w:spacing w:val="-2"/>
                <w:szCs w:val="21"/>
                <w:lang w:val="en-US" w:eastAsia="zh-CN"/>
              </w:rPr>
              <w:t>若【r≥业绩比较基准下限+</w:t>
            </w:r>
            <w:r>
              <w:rPr>
                <w:rFonts w:hint="eastAsia" w:ascii="楷体" w:hAnsi="楷体" w:eastAsia="楷体" w:cs="宋体"/>
                <w:spacing w:val="-2"/>
                <w:szCs w:val="21"/>
              </w:rPr>
              <w:t>（业绩比较基准上限-业绩比较基准下限）</w:t>
            </w:r>
            <w:r>
              <w:rPr>
                <w:rFonts w:hint="eastAsia" w:ascii="楷体" w:hAnsi="楷体" w:eastAsia="楷体" w:cs="宋体"/>
                <w:spacing w:val="-2"/>
                <w:szCs w:val="21"/>
                <w:lang w:val="en-US" w:eastAsia="zh-CN"/>
              </w:rPr>
              <w:t>*50%】，管理人对超出业绩比较基准下限的部分收取30%的超额业绩报酬，并对超出【业绩比较基准下限+</w:t>
            </w:r>
            <w:r>
              <w:rPr>
                <w:rFonts w:hint="eastAsia" w:ascii="楷体" w:hAnsi="楷体" w:eastAsia="楷体" w:cs="宋体"/>
                <w:spacing w:val="-2"/>
                <w:szCs w:val="21"/>
              </w:rPr>
              <w:t>（业绩比较基准上限-业绩比较基准下限）</w:t>
            </w:r>
            <w:r>
              <w:rPr>
                <w:rFonts w:hint="eastAsia" w:ascii="楷体" w:hAnsi="楷体" w:eastAsia="楷体" w:cs="宋体"/>
                <w:spacing w:val="-2"/>
                <w:szCs w:val="21"/>
                <w:lang w:val="en-US" w:eastAsia="zh-CN"/>
              </w:rPr>
              <w:t>*50%】的部分收取50%的超额业绩报酬。</w:t>
            </w:r>
          </w:p>
          <w:p>
            <w:pPr>
              <w:ind w:right="115" w:rightChars="55"/>
              <w:rPr>
                <w:rFonts w:ascii="楷体" w:hAnsi="楷体" w:eastAsia="楷体"/>
                <w:sz w:val="24"/>
                <w:szCs w:val="24"/>
              </w:rPr>
            </w:pPr>
            <w:r>
              <w:rPr>
                <w:rFonts w:hint="eastAsia" w:ascii="楷体" w:hAnsi="楷体" w:eastAsia="楷体" w:cs="宋体"/>
                <w:spacing w:val="-2"/>
                <w:szCs w:val="21"/>
                <w:highlight w:val="none"/>
              </w:rPr>
              <w:t>产品存续期内</w:t>
            </w:r>
            <w:r>
              <w:rPr>
                <w:rFonts w:hint="eastAsia" w:ascii="楷体" w:hAnsi="楷体" w:eastAsia="楷体" w:cs="宋体"/>
                <w:spacing w:val="-2"/>
                <w:szCs w:val="21"/>
                <w:highlight w:val="none"/>
                <w:lang w:eastAsia="zh-CN"/>
              </w:rPr>
              <w:t>，</w:t>
            </w:r>
            <w:r>
              <w:rPr>
                <w:rFonts w:hint="eastAsia" w:ascii="楷体" w:hAnsi="楷体" w:eastAsia="楷体" w:cs="宋体"/>
                <w:spacing w:val="-2"/>
                <w:szCs w:val="21"/>
                <w:highlight w:val="none"/>
                <w:lang w:val="en-US" w:eastAsia="zh-CN"/>
              </w:rPr>
              <w:t>若市场情况发生重大变化，或因维护本产品正常运作需要等情形，</w:t>
            </w:r>
            <w:r>
              <w:rPr>
                <w:rFonts w:hint="eastAsia" w:ascii="楷体" w:hAnsi="楷体" w:eastAsia="楷体" w:cs="宋体"/>
                <w:spacing w:val="-2"/>
                <w:szCs w:val="21"/>
                <w:highlight w:val="none"/>
              </w:rPr>
              <w:t>苏银理财可对产品费用</w:t>
            </w:r>
            <w:r>
              <w:rPr>
                <w:rFonts w:hint="eastAsia" w:ascii="楷体" w:hAnsi="楷体" w:eastAsia="楷体" w:cs="宋体"/>
                <w:spacing w:val="-2"/>
                <w:szCs w:val="21"/>
                <w:highlight w:val="none"/>
                <w:lang w:val="en-US" w:eastAsia="zh-CN"/>
              </w:rPr>
              <w:t>进行调整</w:t>
            </w:r>
            <w:r>
              <w:rPr>
                <w:rFonts w:hint="eastAsia" w:ascii="楷体" w:hAnsi="楷体" w:eastAsia="楷体" w:cs="宋体"/>
                <w:spacing w:val="-2"/>
                <w:szCs w:val="21"/>
                <w:highlight w:val="none"/>
              </w:rPr>
              <w:t>，</w:t>
            </w:r>
            <w:r>
              <w:rPr>
                <w:rFonts w:hint="eastAsia" w:ascii="楷体" w:hAnsi="楷体" w:eastAsia="楷体" w:cs="宋体"/>
                <w:spacing w:val="-2"/>
                <w:szCs w:val="21"/>
                <w:highlight w:val="none"/>
                <w:lang w:val="en-US" w:eastAsia="zh-CN"/>
              </w:rPr>
              <w:t>管理人将提前2个工作日通过苏银理财有限责任公司官方网站（www.suyinwealth.com）以及销售机构进行公告</w:t>
            </w:r>
            <w:r>
              <w:rPr>
                <w:rFonts w:hint="eastAsia" w:ascii="楷体" w:hAnsi="楷体" w:eastAsia="楷体" w:cs="宋体"/>
                <w:spacing w:val="-2"/>
                <w:szCs w:val="21"/>
                <w:highlight w:val="none"/>
              </w:rPr>
              <w:t>。</w:t>
            </w:r>
          </w:p>
        </w:tc>
      </w:tr>
    </w:tbl>
    <w:p>
      <w:pPr>
        <w:numPr>
          <w:ilvl w:val="0"/>
          <w:numId w:val="14"/>
        </w:numPr>
        <w:tabs>
          <w:tab w:val="left" w:pos="1134"/>
        </w:tabs>
        <w:ind w:firstLine="562" w:firstLineChars="200"/>
        <w:rPr>
          <w:rFonts w:hint="eastAsia" w:ascii="楷体" w:hAnsi="楷体" w:eastAsia="楷体"/>
          <w:b/>
          <w:sz w:val="28"/>
          <w:szCs w:val="28"/>
        </w:rPr>
      </w:pPr>
      <w:r>
        <w:rPr>
          <w:rFonts w:hint="eastAsia" w:ascii="楷体" w:hAnsi="楷体" w:eastAsia="楷体"/>
          <w:b/>
          <w:sz w:val="28"/>
          <w:szCs w:val="28"/>
        </w:rPr>
        <w:t>产品管理人</w:t>
      </w:r>
    </w:p>
    <w:p>
      <w:pPr>
        <w:ind w:firstLine="480" w:firstLineChars="200"/>
        <w:rPr>
          <w:rFonts w:ascii="楷体" w:hAnsi="楷体" w:eastAsia="楷体"/>
          <w:sz w:val="24"/>
          <w:szCs w:val="24"/>
        </w:rPr>
      </w:pPr>
      <w:r>
        <w:rPr>
          <w:rFonts w:hint="eastAsia" w:ascii="楷体" w:hAnsi="楷体" w:eastAsia="楷体"/>
          <w:sz w:val="24"/>
          <w:szCs w:val="24"/>
        </w:rPr>
        <w:t>本产品管理人为苏银理财有限责任公司，苏银理财系江苏银行股份有限公司全资控股的银行理财子公司。公司成立于2020年8月，注册资本为20亿元人民币，全部由江苏银行股份有限公司以货币资金认购并一次性足额缴纳。公司注册地为江苏省南京市。公司主要业务范围为：面向不特定社会公众公开发行理财产品，对受托的投资和财产进行投资和管理；面向合格投资者非公开发行理财产品，对受托的投资和财产进行投资和管理；理财顾问和咨询服务；经</w:t>
      </w:r>
      <w:r>
        <w:rPr>
          <w:rFonts w:hint="eastAsia" w:ascii="楷体" w:hAnsi="楷体" w:eastAsia="楷体"/>
          <w:sz w:val="24"/>
          <w:szCs w:val="24"/>
          <w:lang w:val="en-US" w:eastAsia="zh-CN"/>
        </w:rPr>
        <w:t>监管机构</w:t>
      </w:r>
      <w:r>
        <w:rPr>
          <w:rFonts w:hint="eastAsia" w:ascii="楷体" w:hAnsi="楷体" w:eastAsia="楷体"/>
          <w:sz w:val="24"/>
          <w:szCs w:val="24"/>
        </w:rPr>
        <w:t>批准的其他业务等。</w:t>
      </w:r>
    </w:p>
    <w:p>
      <w:pPr>
        <w:ind w:firstLine="480" w:firstLineChars="200"/>
        <w:rPr>
          <w:rFonts w:ascii="楷体" w:hAnsi="楷体" w:eastAsia="楷体"/>
          <w:sz w:val="24"/>
          <w:szCs w:val="24"/>
        </w:rPr>
      </w:pPr>
      <w:r>
        <w:rPr>
          <w:rFonts w:hint="eastAsia" w:ascii="楷体" w:hAnsi="楷体" w:eastAsia="楷体"/>
          <w:sz w:val="24"/>
          <w:szCs w:val="24"/>
        </w:rPr>
        <w:t>投资</w:t>
      </w:r>
      <w:r>
        <w:rPr>
          <w:rFonts w:ascii="楷体" w:hAnsi="楷体" w:eastAsia="楷体"/>
          <w:sz w:val="24"/>
          <w:szCs w:val="24"/>
        </w:rPr>
        <w:t>者</w:t>
      </w:r>
      <w:r>
        <w:rPr>
          <w:rFonts w:hint="eastAsia" w:ascii="楷体" w:hAnsi="楷体" w:eastAsia="楷体"/>
          <w:sz w:val="24"/>
          <w:szCs w:val="24"/>
        </w:rPr>
        <w:t>在此</w:t>
      </w:r>
      <w:r>
        <w:rPr>
          <w:rFonts w:ascii="楷体" w:hAnsi="楷体" w:eastAsia="楷体"/>
          <w:sz w:val="24"/>
          <w:szCs w:val="24"/>
        </w:rPr>
        <w:t>授权并同意苏银理财享有以下权利：</w:t>
      </w:r>
    </w:p>
    <w:p>
      <w:pPr>
        <w:numPr>
          <w:ilvl w:val="0"/>
          <w:numId w:val="15"/>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按照</w:t>
      </w:r>
      <w:r>
        <w:rPr>
          <w:rFonts w:ascii="楷体" w:hAnsi="楷体" w:eastAsia="楷体" w:cs="Calibri"/>
          <w:sz w:val="24"/>
          <w:szCs w:val="24"/>
        </w:rPr>
        <w:t>本理财产品合同</w:t>
      </w:r>
      <w:r>
        <w:rPr>
          <w:rFonts w:hint="eastAsia" w:ascii="楷体" w:hAnsi="楷体" w:eastAsia="楷体" w:cs="Calibri"/>
          <w:sz w:val="24"/>
          <w:szCs w:val="24"/>
        </w:rPr>
        <w:t>的</w:t>
      </w:r>
      <w:r>
        <w:rPr>
          <w:rFonts w:ascii="楷体" w:hAnsi="楷体" w:eastAsia="楷体" w:cs="Calibri"/>
          <w:sz w:val="24"/>
          <w:szCs w:val="24"/>
        </w:rPr>
        <w:t>约定，管理、运用和处分理财计划资金。</w:t>
      </w:r>
    </w:p>
    <w:p>
      <w:pPr>
        <w:numPr>
          <w:ilvl w:val="0"/>
          <w:numId w:val="15"/>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按照</w:t>
      </w:r>
      <w:r>
        <w:rPr>
          <w:rFonts w:ascii="楷体" w:hAnsi="楷体" w:eastAsia="楷体" w:cs="Calibri"/>
          <w:sz w:val="24"/>
          <w:szCs w:val="24"/>
        </w:rPr>
        <w:t>本理财</w:t>
      </w:r>
      <w:r>
        <w:rPr>
          <w:rFonts w:hint="eastAsia" w:ascii="楷体" w:hAnsi="楷体" w:eastAsia="楷体" w:cs="Calibri"/>
          <w:sz w:val="24"/>
          <w:szCs w:val="24"/>
        </w:rPr>
        <w:t>产品</w:t>
      </w:r>
      <w:r>
        <w:rPr>
          <w:rFonts w:ascii="楷体" w:hAnsi="楷体" w:eastAsia="楷体" w:cs="Calibri"/>
          <w:sz w:val="24"/>
          <w:szCs w:val="24"/>
        </w:rPr>
        <w:t>合同的约定，及时、足额获得投资管理费。</w:t>
      </w:r>
    </w:p>
    <w:p>
      <w:pPr>
        <w:numPr>
          <w:ilvl w:val="0"/>
          <w:numId w:val="15"/>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管理人</w:t>
      </w:r>
      <w:r>
        <w:rPr>
          <w:rFonts w:ascii="楷体" w:hAnsi="楷体" w:eastAsia="楷体" w:cs="Calibri"/>
          <w:sz w:val="24"/>
          <w:szCs w:val="24"/>
        </w:rPr>
        <w:t>有权根据本理财产品合同的约定提前终止</w:t>
      </w:r>
      <w:r>
        <w:rPr>
          <w:rFonts w:hint="eastAsia" w:ascii="楷体" w:hAnsi="楷体" w:eastAsia="楷体" w:cs="Calibri"/>
          <w:sz w:val="24"/>
          <w:szCs w:val="24"/>
        </w:rPr>
        <w:t>或</w:t>
      </w:r>
      <w:r>
        <w:rPr>
          <w:rFonts w:ascii="楷体" w:hAnsi="楷体" w:eastAsia="楷体" w:cs="Calibri"/>
          <w:sz w:val="24"/>
          <w:szCs w:val="24"/>
        </w:rPr>
        <w:t>延长</w:t>
      </w:r>
      <w:r>
        <w:rPr>
          <w:rFonts w:hint="eastAsia" w:ascii="楷体" w:hAnsi="楷体" w:eastAsia="楷体" w:cs="Calibri"/>
          <w:sz w:val="24"/>
          <w:szCs w:val="24"/>
        </w:rPr>
        <w:t>本</w:t>
      </w:r>
      <w:r>
        <w:rPr>
          <w:rFonts w:ascii="楷体" w:hAnsi="楷体" w:eastAsia="楷体" w:cs="Calibri"/>
          <w:sz w:val="24"/>
          <w:szCs w:val="24"/>
        </w:rPr>
        <w:t>理财产品的期限。</w:t>
      </w:r>
    </w:p>
    <w:p>
      <w:pPr>
        <w:numPr>
          <w:ilvl w:val="0"/>
          <w:numId w:val="15"/>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管理人</w:t>
      </w:r>
      <w:r>
        <w:rPr>
          <w:rFonts w:ascii="楷体" w:hAnsi="楷体" w:eastAsia="楷体" w:cs="Calibri"/>
          <w:sz w:val="24"/>
          <w:szCs w:val="24"/>
        </w:rPr>
        <w:t>有权</w:t>
      </w:r>
      <w:r>
        <w:rPr>
          <w:rFonts w:hint="eastAsia" w:ascii="楷体" w:hAnsi="楷体" w:eastAsia="楷体" w:cs="Calibri"/>
          <w:sz w:val="24"/>
          <w:szCs w:val="24"/>
        </w:rPr>
        <w:t>调整</w:t>
      </w:r>
      <w:r>
        <w:rPr>
          <w:rFonts w:ascii="楷体" w:hAnsi="楷体" w:eastAsia="楷体" w:cs="Calibri"/>
          <w:sz w:val="24"/>
          <w:szCs w:val="24"/>
        </w:rPr>
        <w:t>本</w:t>
      </w:r>
      <w:r>
        <w:rPr>
          <w:rFonts w:hint="eastAsia" w:ascii="楷体" w:hAnsi="楷体" w:eastAsia="楷体" w:cs="Calibri"/>
          <w:sz w:val="24"/>
          <w:szCs w:val="24"/>
        </w:rPr>
        <w:t>理财</w:t>
      </w:r>
      <w:r>
        <w:rPr>
          <w:rFonts w:ascii="楷体" w:hAnsi="楷体" w:eastAsia="楷体" w:cs="Calibri"/>
          <w:sz w:val="24"/>
          <w:szCs w:val="24"/>
        </w:rPr>
        <w:t>产品的认购规模</w:t>
      </w:r>
      <w:r>
        <w:rPr>
          <w:rFonts w:hint="eastAsia" w:ascii="楷体" w:hAnsi="楷体" w:eastAsia="楷体" w:cs="Calibri"/>
          <w:sz w:val="24"/>
          <w:szCs w:val="24"/>
        </w:rPr>
        <w:t>上限</w:t>
      </w:r>
      <w:r>
        <w:rPr>
          <w:rFonts w:ascii="楷体" w:hAnsi="楷体" w:eastAsia="楷体" w:cs="Calibri"/>
          <w:sz w:val="24"/>
          <w:szCs w:val="24"/>
        </w:rPr>
        <w:t>、认购起点、</w:t>
      </w:r>
      <w:r>
        <w:rPr>
          <w:rFonts w:hint="eastAsia" w:ascii="楷体" w:hAnsi="楷体" w:eastAsia="楷体" w:cs="Calibri"/>
          <w:sz w:val="24"/>
          <w:szCs w:val="24"/>
        </w:rPr>
        <w:t>认购</w:t>
      </w:r>
      <w:r>
        <w:rPr>
          <w:rFonts w:ascii="楷体" w:hAnsi="楷体" w:eastAsia="楷体" w:cs="Calibri"/>
          <w:sz w:val="24"/>
          <w:szCs w:val="24"/>
        </w:rPr>
        <w:t>金额上限、认购资金的最</w:t>
      </w:r>
      <w:r>
        <w:rPr>
          <w:rFonts w:hint="eastAsia" w:ascii="楷体" w:hAnsi="楷体" w:eastAsia="楷体" w:cs="Calibri"/>
          <w:sz w:val="24"/>
          <w:szCs w:val="24"/>
          <w:lang w:val="en-US" w:eastAsia="zh-CN"/>
        </w:rPr>
        <w:t>低</w:t>
      </w:r>
      <w:r>
        <w:rPr>
          <w:rFonts w:ascii="楷体" w:hAnsi="楷体" w:eastAsia="楷体" w:cs="Calibri"/>
          <w:sz w:val="24"/>
          <w:szCs w:val="24"/>
        </w:rPr>
        <w:t>金额等</w:t>
      </w:r>
      <w:r>
        <w:rPr>
          <w:rFonts w:hint="eastAsia" w:ascii="楷体" w:hAnsi="楷体" w:eastAsia="楷体" w:cs="Calibri"/>
          <w:sz w:val="24"/>
          <w:szCs w:val="24"/>
        </w:rPr>
        <w:t>要素</w:t>
      </w:r>
      <w:r>
        <w:rPr>
          <w:rFonts w:ascii="楷体" w:hAnsi="楷体" w:eastAsia="楷体" w:cs="Calibri"/>
          <w:sz w:val="24"/>
          <w:szCs w:val="24"/>
        </w:rPr>
        <w:t>。</w:t>
      </w:r>
    </w:p>
    <w:p>
      <w:pPr>
        <w:numPr>
          <w:ilvl w:val="0"/>
          <w:numId w:val="15"/>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管理人</w:t>
      </w:r>
      <w:r>
        <w:rPr>
          <w:rFonts w:ascii="楷体" w:hAnsi="楷体" w:eastAsia="楷体" w:cs="Calibri"/>
          <w:sz w:val="24"/>
          <w:szCs w:val="24"/>
        </w:rPr>
        <w:t>有权依照法律规定和监管机构的要求将投资者的信息向有权部门或相关机构披露。</w:t>
      </w:r>
    </w:p>
    <w:p>
      <w:pPr>
        <w:numPr>
          <w:ilvl w:val="0"/>
          <w:numId w:val="15"/>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以</w:t>
      </w:r>
      <w:r>
        <w:rPr>
          <w:rFonts w:ascii="楷体" w:hAnsi="楷体" w:eastAsia="楷体" w:cs="Calibri"/>
          <w:sz w:val="24"/>
          <w:szCs w:val="24"/>
        </w:rPr>
        <w:t>理财产品投资管理人的名义，依照法律法规相关规定以及为理财产品的利益，对被投资的各类基金、公司/</w:t>
      </w:r>
      <w:r>
        <w:rPr>
          <w:rFonts w:hint="eastAsia" w:ascii="楷体" w:hAnsi="楷体" w:eastAsia="楷体" w:cs="Calibri"/>
          <w:sz w:val="24"/>
          <w:szCs w:val="24"/>
        </w:rPr>
        <w:t>企业</w:t>
      </w:r>
      <w:r>
        <w:rPr>
          <w:rFonts w:ascii="楷体" w:hAnsi="楷体" w:eastAsia="楷体" w:cs="Calibri"/>
          <w:sz w:val="24"/>
          <w:szCs w:val="24"/>
        </w:rPr>
        <w:t>等</w:t>
      </w:r>
      <w:r>
        <w:rPr>
          <w:rFonts w:hint="eastAsia" w:ascii="楷体" w:hAnsi="楷体" w:eastAsia="楷体" w:cs="Calibri"/>
          <w:sz w:val="24"/>
          <w:szCs w:val="24"/>
        </w:rPr>
        <w:t>行使</w:t>
      </w:r>
      <w:r>
        <w:rPr>
          <w:rFonts w:ascii="楷体" w:hAnsi="楷体" w:eastAsia="楷体" w:cs="Calibri"/>
          <w:sz w:val="24"/>
          <w:szCs w:val="24"/>
        </w:rPr>
        <w:t>出资人</w:t>
      </w:r>
      <w:r>
        <w:rPr>
          <w:rFonts w:hint="eastAsia" w:ascii="楷体" w:hAnsi="楷体" w:eastAsia="楷体" w:cs="Calibri"/>
          <w:sz w:val="24"/>
          <w:szCs w:val="24"/>
        </w:rPr>
        <w:t>/投资者</w:t>
      </w:r>
      <w:r>
        <w:rPr>
          <w:rFonts w:ascii="楷体" w:hAnsi="楷体" w:eastAsia="楷体" w:cs="Calibri"/>
          <w:sz w:val="24"/>
          <w:szCs w:val="24"/>
        </w:rPr>
        <w:t>权利（</w:t>
      </w:r>
      <w:r>
        <w:rPr>
          <w:rFonts w:hint="eastAsia" w:ascii="楷体" w:hAnsi="楷体" w:eastAsia="楷体" w:cs="Calibri"/>
          <w:sz w:val="24"/>
          <w:szCs w:val="24"/>
        </w:rPr>
        <w:t>包括</w:t>
      </w:r>
      <w:r>
        <w:rPr>
          <w:rFonts w:ascii="楷体" w:hAnsi="楷体" w:eastAsia="楷体" w:cs="Calibri"/>
          <w:sz w:val="24"/>
          <w:szCs w:val="24"/>
        </w:rPr>
        <w:t>但不限于表决投票的权利）</w:t>
      </w:r>
      <w:r>
        <w:rPr>
          <w:rFonts w:hint="eastAsia" w:ascii="楷体" w:hAnsi="楷体" w:eastAsia="楷体" w:cs="Calibri"/>
          <w:sz w:val="24"/>
          <w:szCs w:val="24"/>
        </w:rPr>
        <w:t>以及行使</w:t>
      </w:r>
      <w:r>
        <w:rPr>
          <w:rFonts w:ascii="楷体" w:hAnsi="楷体" w:eastAsia="楷体" w:cs="Calibri"/>
          <w:sz w:val="24"/>
          <w:szCs w:val="24"/>
        </w:rPr>
        <w:t>因理财产品投资于证券类基础资产（</w:t>
      </w:r>
      <w:r>
        <w:rPr>
          <w:rFonts w:hint="eastAsia" w:ascii="楷体" w:hAnsi="楷体" w:eastAsia="楷体" w:cs="Calibri"/>
          <w:sz w:val="24"/>
          <w:szCs w:val="24"/>
        </w:rPr>
        <w:t>含</w:t>
      </w:r>
      <w:r>
        <w:rPr>
          <w:rFonts w:ascii="楷体" w:hAnsi="楷体" w:eastAsia="楷体" w:cs="Calibri"/>
          <w:sz w:val="24"/>
          <w:szCs w:val="24"/>
        </w:rPr>
        <w:t>债券）</w:t>
      </w:r>
      <w:r>
        <w:rPr>
          <w:rFonts w:hint="eastAsia" w:ascii="楷体" w:hAnsi="楷体" w:eastAsia="楷体" w:cs="Calibri"/>
          <w:sz w:val="24"/>
          <w:szCs w:val="24"/>
        </w:rPr>
        <w:t>或</w:t>
      </w:r>
      <w:r>
        <w:rPr>
          <w:rFonts w:ascii="楷体" w:hAnsi="楷体" w:eastAsia="楷体" w:cs="Calibri"/>
          <w:sz w:val="24"/>
          <w:szCs w:val="24"/>
        </w:rPr>
        <w:t>其他基础资产（</w:t>
      </w:r>
      <w:r>
        <w:rPr>
          <w:rFonts w:hint="eastAsia" w:ascii="楷体" w:hAnsi="楷体" w:eastAsia="楷体" w:cs="Calibri"/>
          <w:sz w:val="24"/>
          <w:szCs w:val="24"/>
        </w:rPr>
        <w:t>包括</w:t>
      </w:r>
      <w:r>
        <w:rPr>
          <w:rFonts w:ascii="楷体" w:hAnsi="楷体" w:eastAsia="楷体" w:cs="Calibri"/>
          <w:sz w:val="24"/>
          <w:szCs w:val="24"/>
        </w:rPr>
        <w:t>但不限于债权类资产）</w:t>
      </w:r>
      <w:r>
        <w:rPr>
          <w:rFonts w:hint="eastAsia" w:ascii="楷体" w:hAnsi="楷体" w:eastAsia="楷体" w:cs="Calibri"/>
          <w:sz w:val="24"/>
          <w:szCs w:val="24"/>
        </w:rPr>
        <w:t>所产生</w:t>
      </w:r>
      <w:r>
        <w:rPr>
          <w:rFonts w:ascii="楷体" w:hAnsi="楷体" w:eastAsia="楷体" w:cs="Calibri"/>
          <w:sz w:val="24"/>
          <w:szCs w:val="24"/>
        </w:rPr>
        <w:t>的相关权利。</w:t>
      </w:r>
    </w:p>
    <w:p>
      <w:pPr>
        <w:numPr>
          <w:ilvl w:val="0"/>
          <w:numId w:val="15"/>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以</w:t>
      </w:r>
      <w:r>
        <w:rPr>
          <w:rFonts w:ascii="楷体" w:hAnsi="楷体" w:eastAsia="楷体" w:cs="Calibri"/>
          <w:sz w:val="24"/>
          <w:szCs w:val="24"/>
        </w:rPr>
        <w:t>理财产品投资管理人的名义，依照</w:t>
      </w:r>
      <w:r>
        <w:rPr>
          <w:rFonts w:hint="eastAsia" w:ascii="楷体" w:hAnsi="楷体" w:eastAsia="楷体" w:cs="Calibri"/>
          <w:sz w:val="24"/>
          <w:szCs w:val="24"/>
        </w:rPr>
        <w:t>法律法规相关规定以及代表理财产品份额持有人的利益行使代为追索的权利（包括但不限于提起诉讼/仲裁、申请保全/执行的权利）或者实施其他法律行为。</w:t>
      </w:r>
    </w:p>
    <w:p>
      <w:pPr>
        <w:numPr>
          <w:ilvl w:val="0"/>
          <w:numId w:val="15"/>
        </w:numPr>
        <w:tabs>
          <w:tab w:val="left" w:pos="728"/>
        </w:tabs>
        <w:ind w:left="0" w:firstLine="480" w:firstLineChars="200"/>
        <w:rPr>
          <w:rFonts w:hint="eastAsia" w:ascii="楷体" w:hAnsi="楷体" w:eastAsia="楷体"/>
          <w:sz w:val="24"/>
          <w:szCs w:val="24"/>
        </w:rPr>
      </w:pPr>
      <w:r>
        <w:rPr>
          <w:rFonts w:hint="eastAsia" w:ascii="楷体" w:hAnsi="楷体" w:eastAsia="楷体" w:cs="Calibri"/>
          <w:sz w:val="24"/>
          <w:szCs w:val="24"/>
        </w:rPr>
        <w:t>法律法规、监管政策和本理财计划文件约定的其他权利。</w:t>
      </w:r>
    </w:p>
    <w:p>
      <w:pPr>
        <w:numPr>
          <w:ilvl w:val="0"/>
          <w:numId w:val="14"/>
        </w:numPr>
        <w:tabs>
          <w:tab w:val="left" w:pos="1134"/>
        </w:tabs>
        <w:ind w:firstLine="562" w:firstLineChars="200"/>
        <w:rPr>
          <w:rFonts w:hint="eastAsia" w:ascii="楷体" w:hAnsi="楷体" w:eastAsia="楷体"/>
          <w:b/>
          <w:sz w:val="28"/>
          <w:szCs w:val="28"/>
        </w:rPr>
      </w:pPr>
      <w:r>
        <w:rPr>
          <w:rFonts w:hint="eastAsia" w:ascii="楷体" w:hAnsi="楷体" w:eastAsia="楷体"/>
          <w:b/>
          <w:sz w:val="28"/>
          <w:szCs w:val="28"/>
        </w:rPr>
        <w:t>销售机构</w:t>
      </w:r>
    </w:p>
    <w:p>
      <w:pPr>
        <w:ind w:firstLine="480" w:firstLineChars="200"/>
        <w:rPr>
          <w:rFonts w:hint="eastAsia" w:ascii="楷体" w:hAnsi="楷体" w:eastAsia="楷体"/>
          <w:b w:val="0"/>
          <w:bCs w:val="0"/>
          <w:sz w:val="24"/>
          <w:szCs w:val="24"/>
          <w:highlight w:val="yellow"/>
          <w:u w:val="none"/>
          <w:lang w:val="en-US" w:eastAsia="zh-CN"/>
        </w:rPr>
      </w:pPr>
      <w:r>
        <w:rPr>
          <w:rFonts w:hint="eastAsia" w:ascii="楷体" w:hAnsi="楷体" w:eastAsia="楷体"/>
          <w:sz w:val="24"/>
          <w:szCs w:val="24"/>
        </w:rPr>
        <w:t>本产品可以通过商业银行、农村合作银行、村镇银行、农村信用合作社等吸收公众存款的银行业金融机构，或者国务院银行业监督管理机构认可的其他机构进行销售。</w:t>
      </w:r>
      <w:r>
        <w:rPr>
          <w:rFonts w:hint="eastAsia" w:ascii="楷体" w:hAnsi="楷体" w:eastAsia="楷体"/>
          <w:b/>
          <w:sz w:val="24"/>
          <w:szCs w:val="24"/>
          <w:u w:val="single"/>
        </w:rPr>
        <w:t>销售机构负责</w:t>
      </w:r>
      <w:r>
        <w:rPr>
          <w:rFonts w:ascii="楷体" w:hAnsi="楷体" w:eastAsia="楷体"/>
          <w:b/>
          <w:sz w:val="24"/>
          <w:szCs w:val="24"/>
          <w:u w:val="single"/>
        </w:rPr>
        <w:t>理财产品宣传推广、投资者风险承受能力评估和投资者适当性管理、理财产品客户身份识别及反洗钱</w:t>
      </w:r>
      <w:r>
        <w:rPr>
          <w:rFonts w:hint="eastAsia" w:ascii="楷体" w:hAnsi="楷体" w:eastAsia="楷体"/>
          <w:b/>
          <w:sz w:val="24"/>
          <w:szCs w:val="24"/>
          <w:u w:val="single"/>
        </w:rPr>
        <w:t>、反恐怖融资及非居民金融账户涉税信息</w:t>
      </w:r>
      <w:r>
        <w:rPr>
          <w:rFonts w:ascii="楷体" w:hAnsi="楷体" w:eastAsia="楷体"/>
          <w:b/>
          <w:sz w:val="24"/>
          <w:szCs w:val="24"/>
          <w:u w:val="single"/>
        </w:rPr>
        <w:t>调查、理财产品份额认购/申购/赎回、协助管理人与投资者订立理财产品合同、协助投资者与管理人沟通、接受投资者咨询和客户维护等销售服务</w:t>
      </w:r>
      <w:r>
        <w:rPr>
          <w:rFonts w:hint="eastAsia" w:ascii="楷体" w:hAnsi="楷体" w:eastAsia="楷体"/>
          <w:b/>
          <w:sz w:val="24"/>
          <w:szCs w:val="24"/>
          <w:u w:val="single"/>
        </w:rPr>
        <w:t>工作。</w:t>
      </w:r>
      <w:r>
        <w:rPr>
          <w:rFonts w:hint="eastAsia" w:ascii="楷体" w:hAnsi="楷体" w:eastAsia="楷体"/>
          <w:b/>
          <w:sz w:val="24"/>
          <w:szCs w:val="24"/>
          <w:u w:val="single"/>
          <w:lang w:val="en-US" w:eastAsia="zh-CN"/>
        </w:rPr>
        <w:t>销售</w:t>
      </w:r>
      <w:r>
        <w:rPr>
          <w:rFonts w:hint="eastAsia" w:ascii="楷体" w:hAnsi="楷体" w:eastAsia="楷体"/>
          <w:b/>
          <w:sz w:val="24"/>
          <w:szCs w:val="24"/>
          <w:u w:val="single"/>
        </w:rPr>
        <w:t>机构不承担产品投资、兑付和风险管理责任，产品的投资、兑付和风险管理责任由管理人苏银理财承担。</w:t>
      </w:r>
      <w:r>
        <w:rPr>
          <w:rFonts w:hint="eastAsia" w:ascii="楷体" w:hAnsi="楷体" w:eastAsia="楷体"/>
          <w:b w:val="0"/>
          <w:bCs w:val="0"/>
          <w:sz w:val="24"/>
          <w:szCs w:val="24"/>
          <w:highlight w:val="none"/>
          <w:u w:val="none"/>
          <w:lang w:val="en-US" w:eastAsia="zh-CN"/>
        </w:rPr>
        <w:t>本产品各份额销售机构如下：</w:t>
      </w:r>
    </w:p>
    <w:tbl>
      <w:tblPr>
        <w:tblStyle w:val="1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03"/>
        <w:gridCol w:w="3181"/>
        <w:gridCol w:w="33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17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ascii="楷体" w:hAnsi="楷体" w:eastAsia="楷体" w:cs="楷体"/>
                <w:b/>
                <w:bCs/>
                <w:i w:val="0"/>
                <w:iCs w:val="0"/>
                <w:color w:val="000000"/>
                <w:sz w:val="18"/>
                <w:szCs w:val="18"/>
                <w:u w:val="none"/>
              </w:rPr>
            </w:pPr>
            <w:r>
              <w:rPr>
                <w:rFonts w:hint="eastAsia" w:ascii="楷体" w:hAnsi="楷体" w:eastAsia="楷体" w:cs="楷体"/>
                <w:b/>
                <w:bCs/>
                <w:i w:val="0"/>
                <w:iCs w:val="0"/>
                <w:color w:val="000000"/>
                <w:kern w:val="0"/>
                <w:sz w:val="18"/>
                <w:szCs w:val="18"/>
                <w:u w:val="none"/>
                <w:lang w:val="en-US" w:eastAsia="zh-CN" w:bidi="ar"/>
              </w:rPr>
              <w:t>份额</w:t>
            </w:r>
          </w:p>
        </w:tc>
        <w:tc>
          <w:tcPr>
            <w:tcW w:w="3824" w:type="pct"/>
            <w:gridSpan w:val="2"/>
            <w:tcBorders>
              <w:top w:val="single" w:color="000000" w:sz="4" w:space="0"/>
              <w:left w:val="single" w:color="000000" w:sz="4" w:space="0"/>
              <w:bottom w:val="single" w:color="auto"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b/>
                <w:bCs/>
                <w:i w:val="0"/>
                <w:iCs w:val="0"/>
                <w:color w:val="000000"/>
                <w:sz w:val="18"/>
                <w:szCs w:val="18"/>
                <w:u w:val="none"/>
              </w:rPr>
            </w:pPr>
            <w:r>
              <w:rPr>
                <w:rFonts w:hint="eastAsia" w:ascii="楷体" w:hAnsi="楷体" w:eastAsia="楷体" w:cs="楷体"/>
                <w:b/>
                <w:bCs/>
                <w:i w:val="0"/>
                <w:iCs w:val="0"/>
                <w:color w:val="000000"/>
                <w:kern w:val="0"/>
                <w:sz w:val="18"/>
                <w:szCs w:val="18"/>
                <w:u w:val="none"/>
                <w:lang w:val="en-US" w:eastAsia="zh-CN" w:bidi="ar"/>
              </w:rPr>
              <w:t>销售机构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175"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default" w:ascii="楷体" w:hAnsi="楷体" w:eastAsia="楷体" w:cs="楷体"/>
                <w:i w:val="0"/>
                <w:iCs w:val="0"/>
                <w:color w:val="000000"/>
                <w:kern w:val="0"/>
                <w:sz w:val="18"/>
                <w:szCs w:val="18"/>
                <w:u w:val="none"/>
                <w:lang w:val="en-US" w:eastAsia="zh-CN" w:bidi="ar"/>
              </w:rPr>
            </w:pPr>
            <w:r>
              <w:rPr>
                <w:rFonts w:hint="eastAsia" w:ascii="楷体" w:hAnsi="楷体" w:eastAsia="楷体" w:cs="楷体"/>
                <w:i w:val="0"/>
                <w:iCs w:val="0"/>
                <w:color w:val="000000"/>
                <w:kern w:val="0"/>
                <w:sz w:val="18"/>
                <w:szCs w:val="18"/>
                <w:u w:val="none"/>
                <w:lang w:val="en-US" w:eastAsia="zh-CN" w:bidi="ar"/>
              </w:rPr>
              <w:t>芙蓉锦程·优选份额</w:t>
            </w:r>
          </w:p>
        </w:tc>
        <w:tc>
          <w:tcPr>
            <w:tcW w:w="1866" w:type="pct"/>
            <w:tcBorders>
              <w:top w:val="single" w:color="auto" w:sz="4" w:space="0"/>
              <w:left w:val="single" w:color="auto" w:sz="4" w:space="0"/>
              <w:bottom w:val="single" w:color="auto" w:sz="4" w:space="0"/>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default"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成都银行股份有限公司</w:t>
            </w:r>
          </w:p>
        </w:tc>
        <w:tc>
          <w:tcPr>
            <w:tcW w:w="1958"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175" w:type="pct"/>
            <w:vMerge w:val="restart"/>
            <w:tcBorders>
              <w:top w:val="single" w:color="auto" w:sz="4" w:space="0"/>
              <w:left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kern w:val="0"/>
                <w:sz w:val="18"/>
                <w:szCs w:val="18"/>
                <w:u w:val="none"/>
                <w:lang w:val="en-US" w:eastAsia="zh-CN" w:bidi="ar"/>
              </w:rPr>
            </w:pPr>
            <w:r>
              <w:rPr>
                <w:rFonts w:hint="eastAsia" w:ascii="楷体" w:hAnsi="楷体" w:eastAsia="楷体" w:cs="楷体"/>
                <w:i w:val="0"/>
                <w:iCs w:val="0"/>
                <w:color w:val="000000"/>
                <w:kern w:val="0"/>
                <w:sz w:val="18"/>
                <w:szCs w:val="18"/>
                <w:u w:val="none"/>
                <w:lang w:val="en-US" w:eastAsia="zh-CN" w:bidi="ar"/>
              </w:rPr>
              <w:t>Z份额</w:t>
            </w:r>
          </w:p>
        </w:tc>
        <w:tc>
          <w:tcPr>
            <w:tcW w:w="1866" w:type="pct"/>
            <w:tcBorders>
              <w:top w:val="single" w:color="auto" w:sz="4" w:space="0"/>
              <w:left w:val="single" w:color="auto" w:sz="4" w:space="0"/>
              <w:bottom w:val="nil"/>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浙江萧山农村商业银行股份有限公司</w:t>
            </w:r>
          </w:p>
        </w:tc>
        <w:tc>
          <w:tcPr>
            <w:tcW w:w="1958" w:type="pct"/>
            <w:tcBorders>
              <w:top w:val="single" w:color="auto" w:sz="4" w:space="0"/>
              <w:left w:val="nil"/>
              <w:bottom w:val="nil"/>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浙江海宁农村商业银行股份有限公司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175" w:type="pct"/>
            <w:vMerge w:val="continue"/>
            <w:tcBorders>
              <w:left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kern w:val="0"/>
                <w:sz w:val="18"/>
                <w:szCs w:val="18"/>
                <w:u w:val="none"/>
                <w:lang w:val="en-US" w:eastAsia="zh-CN" w:bidi="ar"/>
              </w:rPr>
            </w:pPr>
          </w:p>
        </w:tc>
        <w:tc>
          <w:tcPr>
            <w:tcW w:w="1866" w:type="pct"/>
            <w:tcBorders>
              <w:top w:val="nil"/>
              <w:left w:val="single" w:color="auto" w:sz="4" w:space="0"/>
              <w:bottom w:val="nil"/>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浙江瑞安农村商业银行股份有限公司</w:t>
            </w:r>
          </w:p>
        </w:tc>
        <w:tc>
          <w:tcPr>
            <w:tcW w:w="1958" w:type="pct"/>
            <w:tcBorders>
              <w:top w:val="nil"/>
              <w:left w:val="nil"/>
              <w:bottom w:val="nil"/>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浙江临海农村商业银行股份有限公司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175" w:type="pct"/>
            <w:vMerge w:val="continue"/>
            <w:tcBorders>
              <w:left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kern w:val="0"/>
                <w:sz w:val="18"/>
                <w:szCs w:val="18"/>
                <w:u w:val="none"/>
                <w:lang w:val="en-US" w:eastAsia="zh-CN" w:bidi="ar"/>
              </w:rPr>
            </w:pPr>
          </w:p>
        </w:tc>
        <w:tc>
          <w:tcPr>
            <w:tcW w:w="1866" w:type="pct"/>
            <w:tcBorders>
              <w:top w:val="nil"/>
              <w:left w:val="single" w:color="auto" w:sz="4" w:space="0"/>
              <w:bottom w:val="nil"/>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浙江永康农村商业银行股份有限公司</w:t>
            </w:r>
          </w:p>
        </w:tc>
        <w:tc>
          <w:tcPr>
            <w:tcW w:w="1958" w:type="pct"/>
            <w:tcBorders>
              <w:top w:val="nil"/>
              <w:left w:val="nil"/>
              <w:bottom w:val="nil"/>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浙江嵊州农村商业银行股份有限公司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175" w:type="pct"/>
            <w:vMerge w:val="continue"/>
            <w:tcBorders>
              <w:left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kern w:val="0"/>
                <w:sz w:val="18"/>
                <w:szCs w:val="18"/>
                <w:u w:val="none"/>
                <w:lang w:val="en-US" w:eastAsia="zh-CN" w:bidi="ar"/>
              </w:rPr>
            </w:pPr>
          </w:p>
        </w:tc>
        <w:tc>
          <w:tcPr>
            <w:tcW w:w="1866" w:type="pct"/>
            <w:tcBorders>
              <w:top w:val="nil"/>
              <w:left w:val="single" w:color="auto" w:sz="4" w:space="0"/>
              <w:bottom w:val="nil"/>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浙江温岭农村商业银行股份有限公司</w:t>
            </w:r>
          </w:p>
        </w:tc>
        <w:tc>
          <w:tcPr>
            <w:tcW w:w="1958" w:type="pct"/>
            <w:tcBorders>
              <w:top w:val="nil"/>
              <w:left w:val="nil"/>
              <w:bottom w:val="nil"/>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兰州银行股份有限公司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175" w:type="pct"/>
            <w:vMerge w:val="continue"/>
            <w:tcBorders>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kern w:val="0"/>
                <w:sz w:val="18"/>
                <w:szCs w:val="18"/>
                <w:u w:val="none"/>
                <w:lang w:val="en-US" w:eastAsia="zh-CN" w:bidi="ar"/>
              </w:rPr>
            </w:pPr>
          </w:p>
        </w:tc>
        <w:tc>
          <w:tcPr>
            <w:tcW w:w="1866" w:type="pct"/>
            <w:tcBorders>
              <w:top w:val="nil"/>
              <w:left w:val="single" w:color="auto" w:sz="4" w:space="0"/>
              <w:bottom w:val="single" w:color="auto" w:sz="4" w:space="0"/>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江苏昆山农村商业银行股份有限公司</w:t>
            </w:r>
          </w:p>
        </w:tc>
        <w:tc>
          <w:tcPr>
            <w:tcW w:w="1958" w:type="pct"/>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175" w:type="pct"/>
            <w:vMerge w:val="restart"/>
            <w:tcBorders>
              <w:top w:val="single" w:color="auto" w:sz="4" w:space="0"/>
              <w:left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kern w:val="0"/>
                <w:sz w:val="18"/>
                <w:szCs w:val="18"/>
                <w:u w:val="none"/>
                <w:lang w:val="en-US" w:eastAsia="zh-CN" w:bidi="ar"/>
              </w:rPr>
            </w:pPr>
            <w:r>
              <w:rPr>
                <w:rFonts w:hint="eastAsia" w:ascii="楷体" w:hAnsi="楷体" w:eastAsia="楷体" w:cs="楷体"/>
                <w:i w:val="0"/>
                <w:iCs w:val="0"/>
                <w:color w:val="000000"/>
                <w:kern w:val="0"/>
                <w:sz w:val="18"/>
                <w:szCs w:val="18"/>
                <w:u w:val="none"/>
                <w:lang w:val="en-US" w:eastAsia="zh-CN" w:bidi="ar"/>
              </w:rPr>
              <w:t>Q份额</w:t>
            </w:r>
          </w:p>
        </w:tc>
        <w:tc>
          <w:tcPr>
            <w:tcW w:w="1866" w:type="pct"/>
            <w:tcBorders>
              <w:top w:val="single" w:color="auto" w:sz="4" w:space="0"/>
              <w:left w:val="single" w:color="auto" w:sz="4" w:space="0"/>
              <w:bottom w:val="nil"/>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default"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齐鲁银行股份有限公司</w:t>
            </w:r>
          </w:p>
        </w:tc>
        <w:tc>
          <w:tcPr>
            <w:tcW w:w="1958" w:type="pct"/>
            <w:tcBorders>
              <w:top w:val="single" w:color="auto" w:sz="4" w:space="0"/>
              <w:left w:val="nil"/>
              <w:bottom w:val="nil"/>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default"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广州农村商业银行股份有限公司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175" w:type="pct"/>
            <w:vMerge w:val="continue"/>
            <w:tcBorders>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kern w:val="0"/>
                <w:sz w:val="18"/>
                <w:szCs w:val="18"/>
                <w:u w:val="none"/>
                <w:lang w:val="en-US" w:eastAsia="zh-CN" w:bidi="ar"/>
              </w:rPr>
            </w:pPr>
          </w:p>
        </w:tc>
        <w:tc>
          <w:tcPr>
            <w:tcW w:w="1866" w:type="pct"/>
            <w:tcBorders>
              <w:top w:val="nil"/>
              <w:left w:val="single" w:color="auto" w:sz="4" w:space="0"/>
              <w:bottom w:val="single" w:color="auto" w:sz="4" w:space="0"/>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广东南粤银行股份有限公司</w:t>
            </w:r>
          </w:p>
        </w:tc>
        <w:tc>
          <w:tcPr>
            <w:tcW w:w="1958" w:type="pct"/>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中山农村商业银行股份有限公司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175" w:type="pct"/>
            <w:vMerge w:val="restart"/>
            <w:tcBorders>
              <w:top w:val="single" w:color="auto" w:sz="4" w:space="0"/>
              <w:left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default" w:ascii="楷体" w:hAnsi="楷体" w:eastAsia="楷体" w:cs="楷体"/>
                <w:i w:val="0"/>
                <w:iCs w:val="0"/>
                <w:color w:val="000000"/>
                <w:kern w:val="0"/>
                <w:sz w:val="18"/>
                <w:szCs w:val="18"/>
                <w:u w:val="none"/>
                <w:lang w:val="en-US" w:eastAsia="zh-CN" w:bidi="ar"/>
              </w:rPr>
            </w:pPr>
            <w:r>
              <w:rPr>
                <w:rFonts w:hint="eastAsia" w:ascii="楷体" w:hAnsi="楷体" w:eastAsia="楷体" w:cs="楷体"/>
                <w:i w:val="0"/>
                <w:iCs w:val="0"/>
                <w:color w:val="000000"/>
                <w:kern w:val="0"/>
                <w:sz w:val="18"/>
                <w:szCs w:val="18"/>
                <w:u w:val="none"/>
                <w:lang w:val="en-US" w:eastAsia="zh-CN" w:bidi="ar"/>
              </w:rPr>
              <w:t>JS份额</w:t>
            </w:r>
          </w:p>
        </w:tc>
        <w:tc>
          <w:tcPr>
            <w:tcW w:w="3181" w:type="dxa"/>
            <w:tcBorders>
              <w:top w:val="single" w:color="auto" w:sz="4" w:space="0"/>
              <w:left w:val="single" w:color="auto" w:sz="4" w:space="0"/>
              <w:bottom w:val="nil"/>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江苏镇江农村商业银行股份有限公司</w:t>
            </w:r>
          </w:p>
        </w:tc>
        <w:tc>
          <w:tcPr>
            <w:tcW w:w="3338" w:type="dxa"/>
            <w:tcBorders>
              <w:top w:val="single" w:color="auto" w:sz="4" w:space="0"/>
              <w:left w:val="nil"/>
              <w:bottom w:val="nil"/>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江苏句容农村商业银行股份有限公司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175" w:type="pct"/>
            <w:vMerge w:val="continue"/>
            <w:tcBorders>
              <w:left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kern w:val="0"/>
                <w:sz w:val="18"/>
                <w:szCs w:val="18"/>
                <w:u w:val="none"/>
                <w:lang w:val="en-US" w:eastAsia="zh-CN" w:bidi="ar"/>
              </w:rPr>
            </w:pPr>
          </w:p>
        </w:tc>
        <w:tc>
          <w:tcPr>
            <w:tcW w:w="3181" w:type="dxa"/>
            <w:tcBorders>
              <w:top w:val="nil"/>
              <w:left w:val="single" w:color="auto" w:sz="4" w:space="0"/>
              <w:bottom w:val="nil"/>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江苏泗阳农村商业银行股份有限公司</w:t>
            </w:r>
          </w:p>
        </w:tc>
        <w:tc>
          <w:tcPr>
            <w:tcW w:w="3338" w:type="dxa"/>
            <w:tcBorders>
              <w:top w:val="nil"/>
              <w:left w:val="nil"/>
              <w:bottom w:val="nil"/>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江苏姜堰农村商业银行股份有限公司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175" w:type="pct"/>
            <w:vMerge w:val="continue"/>
            <w:tcBorders>
              <w:left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kern w:val="0"/>
                <w:sz w:val="18"/>
                <w:szCs w:val="18"/>
                <w:u w:val="none"/>
                <w:lang w:val="en-US" w:eastAsia="zh-CN" w:bidi="ar"/>
              </w:rPr>
            </w:pPr>
          </w:p>
        </w:tc>
        <w:tc>
          <w:tcPr>
            <w:tcW w:w="3181" w:type="dxa"/>
            <w:tcBorders>
              <w:top w:val="nil"/>
              <w:left w:val="single" w:color="auto" w:sz="4" w:space="0"/>
              <w:bottom w:val="nil"/>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江苏建湖农村商业银行股份有限公司</w:t>
            </w:r>
          </w:p>
        </w:tc>
        <w:tc>
          <w:tcPr>
            <w:tcW w:w="3338" w:type="dxa"/>
            <w:tcBorders>
              <w:top w:val="nil"/>
              <w:left w:val="nil"/>
              <w:bottom w:val="nil"/>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苏银理财有限责任公司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175" w:type="pct"/>
            <w:vMerge w:val="continue"/>
            <w:tcBorders>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kern w:val="0"/>
                <w:sz w:val="18"/>
                <w:szCs w:val="18"/>
                <w:u w:val="none"/>
                <w:lang w:val="en-US" w:eastAsia="zh-CN" w:bidi="ar"/>
              </w:rPr>
            </w:pPr>
          </w:p>
        </w:tc>
        <w:tc>
          <w:tcPr>
            <w:tcW w:w="3181" w:type="dxa"/>
            <w:tcBorders>
              <w:top w:val="nil"/>
              <w:left w:val="single" w:color="auto" w:sz="4" w:space="0"/>
              <w:bottom w:val="single" w:color="auto" w:sz="4" w:space="0"/>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江苏靖江农村商业银行股份有限公司</w:t>
            </w:r>
          </w:p>
        </w:tc>
        <w:tc>
          <w:tcPr>
            <w:tcW w:w="3338" w:type="dxa"/>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江苏高淳农村商业银行股份有限公司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175"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kern w:val="0"/>
                <w:sz w:val="18"/>
                <w:szCs w:val="18"/>
                <w:u w:val="none"/>
                <w:lang w:val="en-US" w:eastAsia="zh-CN" w:bidi="ar"/>
              </w:rPr>
            </w:pPr>
            <w:r>
              <w:rPr>
                <w:rFonts w:hint="eastAsia" w:ascii="楷体" w:hAnsi="楷体" w:eastAsia="楷体" w:cs="楷体"/>
                <w:i w:val="0"/>
                <w:iCs w:val="0"/>
                <w:color w:val="000000"/>
                <w:kern w:val="0"/>
                <w:sz w:val="18"/>
                <w:szCs w:val="18"/>
                <w:u w:val="none"/>
                <w:lang w:val="en-US" w:eastAsia="zh-CN" w:bidi="ar"/>
              </w:rPr>
              <w:t>芙蓉锦程·优选-尊享款份额</w:t>
            </w:r>
          </w:p>
        </w:tc>
        <w:tc>
          <w:tcPr>
            <w:tcW w:w="1866" w:type="pct"/>
            <w:tcBorders>
              <w:top w:val="single" w:color="auto" w:sz="4" w:space="0"/>
              <w:left w:val="single" w:color="auto" w:sz="4" w:space="0"/>
              <w:bottom w:val="single" w:color="auto" w:sz="4" w:space="0"/>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kern w:val="2"/>
                <w:sz w:val="18"/>
                <w:szCs w:val="18"/>
                <w:u w:val="none"/>
                <w:lang w:val="en-US" w:eastAsia="zh-CN" w:bidi="ar-SA"/>
              </w:rPr>
            </w:pPr>
            <w:r>
              <w:rPr>
                <w:rFonts w:hint="eastAsia" w:ascii="楷体" w:hAnsi="楷体" w:eastAsia="楷体" w:cs="楷体"/>
                <w:i w:val="0"/>
                <w:iCs w:val="0"/>
                <w:color w:val="000000"/>
                <w:sz w:val="18"/>
                <w:szCs w:val="18"/>
                <w:u w:val="none"/>
                <w:lang w:val="en-US" w:eastAsia="zh-CN"/>
              </w:rPr>
              <w:t>成都银行股份有限公司</w:t>
            </w:r>
          </w:p>
        </w:tc>
        <w:tc>
          <w:tcPr>
            <w:tcW w:w="1958"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175"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default" w:ascii="楷体" w:hAnsi="楷体" w:eastAsia="楷体" w:cs="楷体"/>
                <w:i w:val="0"/>
                <w:iCs w:val="0"/>
                <w:color w:val="000000"/>
                <w:kern w:val="0"/>
                <w:sz w:val="18"/>
                <w:szCs w:val="18"/>
                <w:u w:val="none"/>
                <w:lang w:val="en-US" w:eastAsia="zh-CN" w:bidi="ar"/>
              </w:rPr>
            </w:pPr>
            <w:r>
              <w:rPr>
                <w:rFonts w:hint="eastAsia" w:ascii="楷体" w:hAnsi="楷体" w:eastAsia="楷体" w:cs="楷体"/>
                <w:i w:val="0"/>
                <w:iCs w:val="0"/>
                <w:color w:val="000000"/>
                <w:kern w:val="0"/>
                <w:sz w:val="18"/>
                <w:szCs w:val="18"/>
                <w:u w:val="none"/>
                <w:lang w:val="en-US" w:eastAsia="zh-CN" w:bidi="ar"/>
              </w:rPr>
              <w:t>北部湾银行专属份额</w:t>
            </w:r>
          </w:p>
        </w:tc>
        <w:tc>
          <w:tcPr>
            <w:tcW w:w="1866" w:type="pct"/>
            <w:tcBorders>
              <w:top w:val="single" w:color="auto" w:sz="4" w:space="0"/>
              <w:left w:val="single" w:color="auto" w:sz="4" w:space="0"/>
              <w:bottom w:val="single" w:color="auto" w:sz="4" w:space="0"/>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default"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广西北部湾银行股份有限公司</w:t>
            </w:r>
          </w:p>
        </w:tc>
        <w:tc>
          <w:tcPr>
            <w:tcW w:w="1958"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175"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default" w:ascii="楷体" w:hAnsi="楷体" w:eastAsia="楷体" w:cs="楷体"/>
                <w:i w:val="0"/>
                <w:iCs w:val="0"/>
                <w:color w:val="000000"/>
                <w:kern w:val="0"/>
                <w:sz w:val="18"/>
                <w:szCs w:val="18"/>
                <w:u w:val="none"/>
                <w:lang w:val="en-US" w:eastAsia="zh-CN" w:bidi="ar"/>
              </w:rPr>
            </w:pPr>
            <w:r>
              <w:rPr>
                <w:rFonts w:hint="eastAsia" w:ascii="楷体" w:hAnsi="楷体" w:eastAsia="楷体" w:cs="楷体"/>
                <w:i w:val="0"/>
                <w:iCs w:val="0"/>
                <w:color w:val="000000"/>
                <w:kern w:val="0"/>
                <w:sz w:val="18"/>
                <w:szCs w:val="18"/>
                <w:u w:val="none"/>
                <w:lang w:val="en-US" w:eastAsia="zh-CN" w:bidi="ar"/>
              </w:rPr>
              <w:t>P份额</w:t>
            </w:r>
          </w:p>
        </w:tc>
        <w:tc>
          <w:tcPr>
            <w:tcW w:w="1866" w:type="pct"/>
            <w:tcBorders>
              <w:top w:val="single" w:color="auto" w:sz="4" w:space="0"/>
              <w:left w:val="single" w:color="auto" w:sz="4" w:space="0"/>
              <w:bottom w:val="single" w:color="auto" w:sz="4" w:space="0"/>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default"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郑州银行股份有限公司</w:t>
            </w:r>
          </w:p>
        </w:tc>
        <w:tc>
          <w:tcPr>
            <w:tcW w:w="1958"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p>
        </w:tc>
      </w:tr>
    </w:tbl>
    <w:p>
      <w:pPr>
        <w:numPr>
          <w:ilvl w:val="0"/>
          <w:numId w:val="14"/>
        </w:numPr>
        <w:tabs>
          <w:tab w:val="left" w:pos="1134"/>
        </w:tabs>
        <w:ind w:firstLine="562" w:firstLineChars="200"/>
        <w:rPr>
          <w:rFonts w:hint="eastAsia" w:ascii="楷体" w:hAnsi="楷体" w:eastAsia="楷体"/>
          <w:b/>
          <w:sz w:val="28"/>
          <w:szCs w:val="28"/>
        </w:rPr>
      </w:pPr>
      <w:r>
        <w:rPr>
          <w:rFonts w:hint="eastAsia" w:ascii="楷体" w:hAnsi="楷体" w:eastAsia="楷体"/>
          <w:b/>
          <w:sz w:val="28"/>
          <w:szCs w:val="28"/>
        </w:rPr>
        <w:t>投资合作机构</w:t>
      </w:r>
    </w:p>
    <w:p>
      <w:pPr>
        <w:ind w:firstLine="480" w:firstLineChars="200"/>
        <w:rPr>
          <w:rFonts w:hint="eastAsia" w:ascii="楷体" w:hAnsi="楷体" w:eastAsia="楷体"/>
          <w:sz w:val="24"/>
          <w:szCs w:val="24"/>
        </w:rPr>
      </w:pPr>
      <w:r>
        <w:rPr>
          <w:rFonts w:hint="eastAsia" w:ascii="楷体" w:hAnsi="楷体" w:eastAsia="楷体"/>
          <w:sz w:val="24"/>
          <w:szCs w:val="24"/>
        </w:rPr>
        <w:t>投资合作机构主要职责是对理财产品受托资金进行投资管理，苏银理财已按投资决策流程对投资合作机构进行了准入，并持续开展投资合作机构的存续期管理。本产品投资合作机构包括：</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8"/>
        <w:gridCol w:w="2760"/>
        <w:gridCol w:w="5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b/>
                <w:bCs/>
                <w:sz w:val="20"/>
                <w:szCs w:val="20"/>
                <w:vertAlign w:val="baseline"/>
                <w:lang w:val="en-US" w:eastAsia="zh-CN"/>
              </w:rPr>
            </w:pPr>
            <w:r>
              <w:rPr>
                <w:rFonts w:hint="eastAsia" w:ascii="楷体" w:hAnsi="楷体" w:eastAsia="楷体"/>
                <w:b/>
                <w:bCs/>
                <w:sz w:val="20"/>
                <w:szCs w:val="20"/>
                <w:vertAlign w:val="baseline"/>
                <w:lang w:val="en-US" w:eastAsia="zh-CN"/>
              </w:rPr>
              <w:t>序号</w:t>
            </w:r>
          </w:p>
        </w:tc>
        <w:tc>
          <w:tcPr>
            <w:tcW w:w="1619"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bCs/>
                <w:sz w:val="20"/>
                <w:szCs w:val="20"/>
                <w:vertAlign w:val="baseline"/>
                <w:lang w:val="en-US" w:eastAsia="zh-CN"/>
              </w:rPr>
            </w:pPr>
            <w:r>
              <w:rPr>
                <w:rFonts w:hint="eastAsia" w:ascii="楷体" w:hAnsi="楷体" w:eastAsia="楷体"/>
                <w:b/>
                <w:bCs/>
                <w:sz w:val="20"/>
                <w:szCs w:val="20"/>
                <w:vertAlign w:val="baseline"/>
                <w:lang w:val="en-US" w:eastAsia="zh-CN"/>
              </w:rPr>
              <w:t>投资合作机构</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b/>
                <w:bCs/>
                <w:sz w:val="20"/>
                <w:szCs w:val="20"/>
                <w:vertAlign w:val="baseline"/>
                <w:lang w:val="en-US" w:eastAsia="zh-CN"/>
              </w:rPr>
            </w:pPr>
            <w:r>
              <w:rPr>
                <w:rFonts w:hint="eastAsia" w:ascii="楷体" w:hAnsi="楷体" w:eastAsia="楷体"/>
                <w:b/>
                <w:bCs/>
                <w:sz w:val="20"/>
                <w:szCs w:val="20"/>
                <w:vertAlign w:val="baseline"/>
                <w:lang w:val="en-US" w:eastAsia="zh-CN"/>
              </w:rPr>
              <w:t>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1</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b w:val="0"/>
                <w:bCs w:val="0"/>
                <w:sz w:val="20"/>
                <w:szCs w:val="20"/>
              </w:rPr>
            </w:pPr>
            <w:r>
              <w:rPr>
                <w:rFonts w:hint="eastAsia" w:ascii="楷体" w:hAnsi="楷体" w:eastAsia="楷体"/>
                <w:b w:val="0"/>
                <w:bCs w:val="0"/>
                <w:sz w:val="20"/>
                <w:szCs w:val="20"/>
                <w:lang w:val="en-US" w:eastAsia="zh-CN"/>
              </w:rPr>
              <w:t>苏豪</w:t>
            </w:r>
            <w:r>
              <w:rPr>
                <w:rFonts w:hint="eastAsia" w:ascii="楷体" w:hAnsi="楷体" w:eastAsia="楷体"/>
                <w:b w:val="0"/>
                <w:bCs w:val="0"/>
                <w:sz w:val="20"/>
                <w:szCs w:val="20"/>
              </w:rPr>
              <w:t>弘业期货股份有限公司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楷体" w:hAnsi="楷体" w:eastAsia="楷体"/>
                <w:b w:val="0"/>
                <w:bCs w:val="0"/>
                <w:sz w:val="20"/>
                <w:szCs w:val="20"/>
              </w:rPr>
            </w:pPr>
            <w:r>
              <w:rPr>
                <w:rFonts w:hint="default" w:ascii="楷体" w:hAnsi="楷体" w:eastAsia="楷体"/>
                <w:b w:val="0"/>
                <w:bCs w:val="0"/>
                <w:sz w:val="20"/>
                <w:szCs w:val="20"/>
              </w:rPr>
              <w:t>苏豪弘业期货股份有限公司（简称弘业期货）成立于1995年，注册资本1,007,777,778元人民币，隶属于江苏省国资委全资拥有的国有企业江苏省苏豪控股集团有限公司。公司经营范围涵盖商品期货经纪、金融期货经纪、期货投资咨询、资产管理、基金销售业务。在北、上、广等国内主要金融中心和重点城市设立35家分支机构，数量位居全国前列，并在行业内率先建立国家级博士后工作站</w:t>
            </w:r>
            <w:r>
              <w:rPr>
                <w:rFonts w:hint="eastAsia" w:ascii="楷体" w:hAnsi="楷体" w:eastAsia="楷体"/>
                <w:b w:val="0"/>
                <w:bCs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2</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b w:val="0"/>
                <w:bCs w:val="0"/>
                <w:sz w:val="20"/>
                <w:szCs w:val="20"/>
                <w:vertAlign w:val="baseline"/>
              </w:rPr>
            </w:pPr>
            <w:r>
              <w:rPr>
                <w:rFonts w:hint="eastAsia" w:ascii="楷体" w:hAnsi="楷体" w:eastAsia="楷体"/>
                <w:b w:val="0"/>
                <w:bCs w:val="0"/>
                <w:sz w:val="20"/>
                <w:szCs w:val="20"/>
              </w:rPr>
              <w:t>江苏省国际信托有限责任公司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楷体" w:hAnsi="楷体" w:eastAsia="楷体"/>
                <w:b w:val="0"/>
                <w:bCs w:val="0"/>
                <w:sz w:val="20"/>
                <w:szCs w:val="20"/>
                <w:vertAlign w:val="baseline"/>
              </w:rPr>
            </w:pPr>
            <w:r>
              <w:rPr>
                <w:rFonts w:hint="eastAsia" w:ascii="楷体" w:hAnsi="楷体" w:eastAsia="楷体"/>
                <w:b w:val="0"/>
                <w:bCs w:val="0"/>
                <w:sz w:val="20"/>
                <w:szCs w:val="20"/>
              </w:rPr>
              <w:t>江苏省国际信托有限责任公司是经江苏省人民政府和中国银行业监督管理委员会批准设立的非银行金融机构，是江苏省国信集团的主要成员企业之一，专业从事金融信托业务。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3</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b w:val="0"/>
                <w:bCs w:val="0"/>
                <w:sz w:val="20"/>
                <w:szCs w:val="18"/>
              </w:rPr>
            </w:pPr>
            <w:r>
              <w:rPr>
                <w:rFonts w:hint="eastAsia" w:ascii="楷体" w:hAnsi="楷体" w:eastAsia="楷体"/>
                <w:b w:val="0"/>
                <w:bCs w:val="0"/>
                <w:sz w:val="20"/>
                <w:szCs w:val="18"/>
              </w:rPr>
              <w:t>中国人保资产管理有限公司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b w:val="0"/>
                <w:bCs w:val="0"/>
                <w:sz w:val="20"/>
                <w:szCs w:val="18"/>
              </w:rPr>
            </w:pPr>
            <w:r>
              <w:rPr>
                <w:rFonts w:hint="eastAsia" w:ascii="楷体" w:hAnsi="楷体" w:eastAsia="楷体"/>
                <w:b w:val="0"/>
                <w:bCs w:val="0"/>
                <w:sz w:val="20"/>
                <w:szCs w:val="18"/>
                <w:lang w:val="en-US" w:eastAsia="zh-CN"/>
              </w:rPr>
              <w:t>中国人保资产管理有限公司成立于2003年7月16日，是经国务院同意、原中国保监会批准设立的境内第一家保险资产管理公司，由中国人民保险集团股份有限公司发起。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4</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b w:val="0"/>
                <w:bCs w:val="0"/>
                <w:sz w:val="20"/>
                <w:szCs w:val="18"/>
              </w:rPr>
            </w:pPr>
            <w:r>
              <w:rPr>
                <w:rFonts w:hint="eastAsia" w:ascii="楷体" w:hAnsi="楷体" w:eastAsia="楷体"/>
                <w:b w:val="0"/>
                <w:bCs w:val="0"/>
                <w:sz w:val="20"/>
                <w:szCs w:val="18"/>
              </w:rPr>
              <w:t>创金合信基金管理有限公司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b w:val="0"/>
                <w:bCs w:val="0"/>
                <w:sz w:val="20"/>
                <w:szCs w:val="18"/>
                <w:lang w:val="en-US" w:eastAsia="zh-CN"/>
              </w:rPr>
            </w:pPr>
            <w:r>
              <w:rPr>
                <w:rFonts w:hint="eastAsia" w:ascii="楷体" w:hAnsi="楷体" w:eastAsia="楷体"/>
                <w:b w:val="0"/>
                <w:bCs w:val="0"/>
                <w:sz w:val="20"/>
                <w:szCs w:val="18"/>
                <w:lang w:val="en-US" w:eastAsia="zh-CN"/>
              </w:rPr>
              <w:t>创金合信基金管理有限公司，2014年7月成立于中国深圳，股东由第一创业证券股份有限公司以及经营管理层和核心员工持股的投资合伙企业构成，是第一家成立时即实现员工持股的基金公司，截至目前注册资本2.33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5</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rPr>
            </w:pPr>
            <w:r>
              <w:rPr>
                <w:rFonts w:hint="eastAsia" w:ascii="楷体" w:hAnsi="楷体" w:eastAsia="楷体" w:cs="Times New Roman"/>
                <w:b w:val="0"/>
                <w:bCs w:val="0"/>
                <w:sz w:val="20"/>
                <w:szCs w:val="18"/>
              </w:rPr>
              <w:t>东方财富证券股份有限公司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b w:val="0"/>
                <w:bCs w:val="0"/>
                <w:sz w:val="20"/>
                <w:szCs w:val="18"/>
                <w:lang w:val="en-US" w:eastAsia="zh-CN"/>
              </w:rPr>
            </w:pPr>
            <w:r>
              <w:rPr>
                <w:rFonts w:hint="eastAsia" w:ascii="楷体" w:hAnsi="楷体" w:eastAsia="楷体"/>
                <w:b w:val="0"/>
                <w:bCs w:val="0"/>
                <w:sz w:val="20"/>
                <w:szCs w:val="18"/>
                <w:lang w:val="en-US" w:eastAsia="zh-CN"/>
              </w:rPr>
              <w:t>东方财富证券股份有限公司，简称“东方财富证券”，是东方财富信息股份有限公司旗下的持牌证券公司，始终坚持用户第一，注重科技赋能、投研管理建设，旨在为客户提供全方位的财富管理服务。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6</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rPr>
            </w:pPr>
            <w:r>
              <w:rPr>
                <w:rFonts w:hint="eastAsia" w:ascii="楷体" w:hAnsi="楷体" w:eastAsia="楷体" w:cs="Times New Roman"/>
                <w:b w:val="0"/>
                <w:bCs w:val="0"/>
                <w:sz w:val="20"/>
                <w:szCs w:val="18"/>
              </w:rPr>
              <w:t>大家资产管理有限责任公司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b w:val="0"/>
                <w:bCs w:val="0"/>
                <w:sz w:val="20"/>
                <w:szCs w:val="18"/>
                <w:lang w:val="en-US" w:eastAsia="zh-CN"/>
              </w:rPr>
            </w:pPr>
            <w:r>
              <w:rPr>
                <w:rFonts w:hint="eastAsia" w:ascii="楷体" w:hAnsi="楷体" w:eastAsia="楷体"/>
                <w:b w:val="0"/>
                <w:bCs w:val="0"/>
                <w:sz w:val="20"/>
                <w:szCs w:val="18"/>
                <w:lang w:val="en-US" w:eastAsia="zh-CN"/>
              </w:rPr>
              <w:t>大家资产管理有限责任公司是大家保险集团旗下专业资产管理公司，公司于2011年5月经原中国保监会批准正式设立，注册资本6亿元人民币，2019年9月18日，经中国银行保险监督管理委员会批准，北京市西城区市场监督管理局核准，名称变更为“大家资产管理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7</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rPr>
            </w:pPr>
            <w:r>
              <w:rPr>
                <w:rFonts w:hint="eastAsia" w:ascii="楷体" w:hAnsi="楷体" w:eastAsia="楷体" w:cs="Times New Roman"/>
                <w:b w:val="0"/>
                <w:bCs w:val="0"/>
                <w:sz w:val="20"/>
                <w:szCs w:val="18"/>
              </w:rPr>
              <w:t>中信期货有限公司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b w:val="0"/>
                <w:bCs w:val="0"/>
                <w:sz w:val="20"/>
                <w:szCs w:val="18"/>
                <w:lang w:val="en-US" w:eastAsia="zh-CN"/>
              </w:rPr>
            </w:pPr>
            <w:r>
              <w:rPr>
                <w:rFonts w:hint="eastAsia" w:ascii="楷体" w:hAnsi="楷体" w:eastAsia="楷体"/>
                <w:b w:val="0"/>
                <w:bCs w:val="0"/>
                <w:sz w:val="20"/>
                <w:szCs w:val="18"/>
                <w:lang w:val="en-US" w:eastAsia="zh-CN"/>
              </w:rPr>
              <w:t>中信期货有限公司（以下简称“中信期货”）成立于1993年3月，为中信证券股份有限公司的全资子公司，注册资本56亿元，总部设在深圳。公司主要开展商品期货经纪、金融期货经纪、期货投资咨询、资产管理和基金销售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trPr>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8</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rPr>
            </w:pPr>
            <w:r>
              <w:rPr>
                <w:rFonts w:hint="eastAsia" w:ascii="楷体" w:hAnsi="楷体" w:eastAsia="楷体" w:cs="Times New Roman"/>
                <w:b w:val="0"/>
                <w:bCs w:val="0"/>
                <w:sz w:val="20"/>
                <w:szCs w:val="18"/>
              </w:rPr>
              <w:t>华润深国投信托有限公司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left"/>
              <w:textAlignment w:val="auto"/>
              <w:rPr>
                <w:rFonts w:hint="eastAsia" w:ascii="楷体" w:hAnsi="楷体" w:eastAsia="楷体"/>
                <w:b w:val="0"/>
                <w:bCs w:val="0"/>
                <w:sz w:val="20"/>
                <w:szCs w:val="18"/>
                <w:lang w:val="en-US" w:eastAsia="zh-CN"/>
              </w:rPr>
            </w:pPr>
            <w:r>
              <w:rPr>
                <w:rFonts w:hint="eastAsia" w:ascii="楷体" w:hAnsi="楷体" w:eastAsia="楷体"/>
                <w:b w:val="0"/>
                <w:bCs w:val="0"/>
                <w:sz w:val="20"/>
                <w:szCs w:val="18"/>
                <w:lang w:val="en-US" w:eastAsia="zh-CN"/>
              </w:rPr>
              <w:t>华润信托于1982年8月24日成立，原名为深圳市信托投资公司，注册资本人民币5,813万元。目前，公司注册资本人民币110亿元，华润金控投资有限公司持有公司51%股权，深圳市投资控股有限公司持有公司49%股权。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9</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rPr>
            </w:pPr>
            <w:r>
              <w:rPr>
                <w:rFonts w:hint="eastAsia" w:ascii="楷体" w:hAnsi="楷体" w:eastAsia="楷体" w:cs="Times New Roman"/>
                <w:b w:val="0"/>
                <w:bCs w:val="0"/>
                <w:sz w:val="20"/>
                <w:szCs w:val="18"/>
              </w:rPr>
              <w:t>永诚保险资产管理有限公司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both"/>
              <w:textAlignment w:val="auto"/>
              <w:rPr>
                <w:rFonts w:hint="eastAsia" w:ascii="楷体" w:hAnsi="楷体" w:eastAsia="楷体"/>
                <w:b w:val="0"/>
                <w:bCs w:val="0"/>
                <w:sz w:val="20"/>
                <w:szCs w:val="18"/>
                <w:lang w:val="en-US" w:eastAsia="zh-CN"/>
              </w:rPr>
            </w:pPr>
            <w:r>
              <w:rPr>
                <w:rFonts w:hint="eastAsia" w:ascii="楷体" w:hAnsi="楷体" w:eastAsia="楷体" w:cs="Times New Roman"/>
                <w:b w:val="0"/>
                <w:bCs w:val="0"/>
                <w:sz w:val="20"/>
                <w:szCs w:val="18"/>
                <w:lang w:val="en-US" w:eastAsia="zh-CN"/>
              </w:rPr>
              <w:t>永诚保险资产管理有限公司（简称“永诚资产”）是由永诚财产保险股份有限公司全资发起组建的保险资产管理公司，公司注册于浙江省宁波市，注册资本金为人民币3亿元。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10</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rPr>
            </w:pPr>
            <w:r>
              <w:rPr>
                <w:rFonts w:hint="eastAsia" w:ascii="楷体" w:hAnsi="楷体" w:eastAsia="楷体" w:cs="Times New Roman"/>
                <w:b w:val="0"/>
                <w:bCs w:val="0"/>
                <w:sz w:val="20"/>
                <w:szCs w:val="18"/>
              </w:rPr>
              <w:t>安联保险资产管理有限公司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b w:val="0"/>
                <w:bCs w:val="0"/>
                <w:sz w:val="20"/>
                <w:szCs w:val="18"/>
                <w:lang w:val="en-US" w:eastAsia="zh-CN"/>
              </w:rPr>
            </w:pPr>
            <w:r>
              <w:rPr>
                <w:rFonts w:hint="eastAsia" w:ascii="楷体" w:hAnsi="楷体" w:eastAsia="楷体" w:cs="Times New Roman"/>
                <w:b w:val="0"/>
                <w:bCs w:val="0"/>
                <w:sz w:val="20"/>
                <w:szCs w:val="18"/>
                <w:lang w:val="en-US" w:eastAsia="zh-CN"/>
              </w:rPr>
              <w:t>安联保险资产管理有限公司（简称安联资管或公司）于2021年7月27日获得中国银行保险监督管理委员会的开业批复，成为中国获批开业的外资独资保险资产管理公司，注册资本为五亿元人民币，注册地北京。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11</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rPr>
            </w:pPr>
            <w:r>
              <w:rPr>
                <w:rFonts w:hint="eastAsia" w:ascii="楷体" w:hAnsi="楷体" w:eastAsia="楷体" w:cs="Times New Roman"/>
                <w:b w:val="0"/>
                <w:bCs w:val="0"/>
                <w:sz w:val="20"/>
                <w:szCs w:val="18"/>
              </w:rPr>
              <w:t>中国对外经济贸易信托有限公司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中国对外经济贸易信托有限公司（以下简称“外贸信托”）成立于1987年9月，控股股东为中化资本有限公司，持股比例97.26%，注册资本80亿元，注册地在北京。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12</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rPr>
            </w:pPr>
            <w:r>
              <w:rPr>
                <w:rFonts w:hint="eastAsia" w:ascii="楷体" w:hAnsi="楷体" w:eastAsia="楷体" w:cs="Times New Roman"/>
                <w:b w:val="0"/>
                <w:bCs w:val="0"/>
                <w:sz w:val="20"/>
                <w:szCs w:val="18"/>
              </w:rPr>
              <w:t>长城财富保险资产管理股份有限公司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长城财富保险资产管理股份有限公司（简称长城财富或公司）于2015年3月18日正式开业，是原中国保监会核准的第十九家保险资产管理公司，公司的主要股东为长城人寿保险股份有限公司、北京金融街投资（集团）有限公司等，注册资本为2亿元人民币，注册地深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13</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rPr>
            </w:pPr>
            <w:r>
              <w:rPr>
                <w:rFonts w:hint="eastAsia" w:ascii="楷体" w:hAnsi="楷体" w:eastAsia="楷体" w:cs="Times New Roman"/>
                <w:b w:val="0"/>
                <w:bCs w:val="0"/>
                <w:sz w:val="20"/>
                <w:szCs w:val="18"/>
              </w:rPr>
              <w:t>平安信托有限责任公司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rPr>
              <w:t>平安信托有限责任公司（以下简称“平安信托”）成立于1996年4月9日；平安信托股东实力雄厚，是中国平安保险（集团）股份有限公司（以下简称“中国平安”）的控股子公司，是中国平安在香港联交所（2318.HK）和上海证券交易所（601318）整体上市的重要组成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14</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rPr>
            </w:pPr>
            <w:r>
              <w:rPr>
                <w:rFonts w:hint="eastAsia" w:ascii="楷体" w:hAnsi="楷体" w:eastAsia="楷体" w:cs="Times New Roman"/>
                <w:b w:val="0"/>
                <w:bCs w:val="0"/>
                <w:sz w:val="20"/>
                <w:szCs w:val="18"/>
              </w:rPr>
              <w:t>中粮信托有限责任公司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rPr>
              <w:t>中粮信托有限责任公司（以下简称“中粮信托”）成立于2009年7月27日，控股股东为中粮资本投资有限公司，实际控制人为国务院国资委，注册资本283,095.4182万元人民币。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15</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rPr>
            </w:pPr>
            <w:r>
              <w:rPr>
                <w:rFonts w:hint="eastAsia" w:ascii="楷体" w:hAnsi="楷体" w:eastAsia="楷体" w:cs="Times New Roman"/>
                <w:b w:val="0"/>
                <w:bCs w:val="0"/>
                <w:sz w:val="20"/>
                <w:szCs w:val="18"/>
              </w:rPr>
              <w:t>南华基金管理有限公司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rPr>
              <w:t>南华基金管理有限公司于2016年10月18日由中国证监会核准设立，2016年11月17日经工商注册登记成立，经营范围为基金募集、基金销售、资产管理、特定客户资产管理和中国证监会许可的其他业务。公司是国内第一家由期货公司全资出资成立的公募基金公司，南华期货股份有限公司为公司全资股东，持股比例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16</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rPr>
            </w:pPr>
            <w:r>
              <w:rPr>
                <w:rFonts w:hint="eastAsia" w:ascii="楷体" w:hAnsi="楷体" w:eastAsia="楷体" w:cs="Times New Roman"/>
                <w:b w:val="0"/>
                <w:bCs w:val="0"/>
                <w:sz w:val="20"/>
                <w:szCs w:val="18"/>
              </w:rPr>
              <w:t>英大保险资产管理有限公司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rPr>
              <w:t>英大保险资产管理有限公司成立于2015年4月3日，由英大人寿、英大财险和英大集团共同发起设立，于2015年4月3日开业，注册资本金为5.2亿元，注册地为北京市。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17</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国联民生证券股份有限公司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rPr>
            </w:pPr>
            <w:r>
              <w:rPr>
                <w:rFonts w:hint="eastAsia" w:ascii="楷体" w:hAnsi="楷体" w:eastAsia="楷体" w:cs="Times New Roman"/>
                <w:b w:val="0"/>
                <w:bCs w:val="0"/>
                <w:sz w:val="20"/>
                <w:szCs w:val="18"/>
              </w:rPr>
              <w:t>国联民生证券股份有限公司创立于1992年11月，前身为无锡市证券公司,2008年5月通过改制更名为国联证券股份有限公司,2015年7月6日在中国香港联合交易所上市(股票代码:01456),2020年7月31日在上海证券交易所上市(股票代码:601456),2025年2月7日更名为国联民生证券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18</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太平洋资产管理有限责任公司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default"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太平洋资产管理有限责任公司（以下简称“太保资产”或“公司”）是中国太平洋保险（集团）股份有限公司控股下的资产管理公司。公司注册资本人民币21亿元。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19</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东吴证券股份有限公司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东吴证券股份有限公司，成立于1993年，公司注册地及总部在苏州，注册资本50.08亿元。公司下属21个分公司，拥有证券营业部135家，下设全资子公司东吴创业投资有限公司、东吴创新资本管理有限公司、东吴证券（香港）金融控股有限公司，并控股东吴基金管理有限公司、东吴期货有限公司和东吴证券中新（新加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20</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鑫元基金管理有限公司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鑫元基金管理有限公司由南京银行股份有限公司（持股比例80%）发起，与南京高科股份有限公司（持股比例20%）联合组建，于2013年8月成立，是国内首批获准设立的城商行系基金公司。鑫元基金注册资本金2亿元人民币，总部设在上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21</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光大永明资产管理股份有限公司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光大永明资产管理股份有限公司成立时的原注册资本为人民币1亿元，其中各股东的持股比例为：光大永明人寿保险有限公司持有99%的股权和中国光大集团持有1%的股权。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22</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建信保险资产管理有限公司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建信保险资产管理有限公司（简称“建信资管”）是由建信保险资管注册地点位于深圳市福田区,总部位于上海陆家嘴，是国内首家银行系保险资产管理公司。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23</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陆家嘴国际信托有限公司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陆家嘴国际信托有限公司（简称陆家嘴信托或公司）是上海陆家嘴金融发展有限公司（以下简称“陆金发”）控股的信托机构，注册资本为104亿元。公司注册地为青岛，在部分城市设立业务团队。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24</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新华资产管理股份有限公司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新华资产管理股份有限公司成立于2006年5月，是国内首批专业保险资产管理机构，前身为新华人寿保险股份有限公司投资管理中心，控股股东为新华人寿保险股份有限公司。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25</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国投泰康信托有限公司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国投泰康信托有限公司是经中国人民银行批准设立、国家金融监督管理总局监管的非银行金融机构，注册资本金26.705亿元人民币。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26</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国联证券资产管理有限公司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国联证券资产管理有限公司（以下简称“公司”或“国联证券资管”）为国联民生证券股份有限公司全资子公司，2023年09月20日完成注册登记，2024年05月23日正式揭牌运营。公司注册地在青岛，注册资本100000万元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27</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华鑫证券有限责任公司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华鑫证券有限责任公司是经中国证券监督管理委员会批准于2001年3月在深圳市注册成立的全国性综合类证券经营机构，注册资本36亿元人民币。华鑫证券是上海仪电（集团）有限公司控股的A股上市公司上海华鑫股份有限公司（股票代码：600621）的全资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28</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云南国际信托有限公司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云南国际信托有限公司是经中国人民银行批准设立、国家金融监督管理总局监管的非银行金融机构，注册资本金22亿元人民币。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29</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中诚信托有限责任公司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中诚信托有限责任公司（以下简称“中诚信托”）成立于1995年11月20日，是中国银行保险监督管理委员会核准的国有控股金融机构，注册资本48.5亿元。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30</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诺德基金管理有限公司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诺德基金管理有限公司成立于2006年，股东为天府清源控股有限公司、北京天朗云创信息技术有限公司，总部位于上海陆家嘴，注册资本1亿元。截至2024年12月31日，公司超160人的团队管理超700亿元资产。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31</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紫金信托有限责任公司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both"/>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紫金信托有限责任公司前身为成立于1992年的南京市信托投资公司。在历经股权变更后，2010年，经国务院银行业监督管理机构批准，公司实施增资重组，并重新登记，更名为“紫金信托有限责任公司”。注册资本32.71亿元人民币。</w:t>
            </w:r>
          </w:p>
        </w:tc>
      </w:tr>
    </w:tbl>
    <w:p>
      <w:pPr>
        <w:rPr>
          <w:rFonts w:ascii="楷体" w:hAnsi="楷体" w:eastAsia="楷体"/>
          <w:b/>
          <w:sz w:val="24"/>
          <w:szCs w:val="24"/>
        </w:rPr>
      </w:pPr>
    </w:p>
    <w:p>
      <w:pPr>
        <w:ind w:firstLine="480" w:firstLineChars="200"/>
        <w:rPr>
          <w:rFonts w:hint="eastAsia" w:ascii="楷体" w:hAnsi="楷体" w:eastAsia="楷体"/>
          <w:sz w:val="24"/>
          <w:szCs w:val="24"/>
        </w:rPr>
      </w:pPr>
      <w:r>
        <w:rPr>
          <w:rFonts w:hint="eastAsia" w:ascii="楷体" w:hAnsi="楷体" w:eastAsia="楷体"/>
          <w:sz w:val="24"/>
          <w:szCs w:val="24"/>
        </w:rPr>
        <w:t>产品存续期内合作机构如有变化，管理人将按照监管规定和内部管理制度要</w:t>
      </w:r>
    </w:p>
    <w:p>
      <w:pPr>
        <w:tabs>
          <w:tab w:val="left" w:pos="1134"/>
        </w:tabs>
        <w:rPr>
          <w:rFonts w:hint="eastAsia" w:ascii="楷体" w:hAnsi="楷体" w:eastAsia="楷体"/>
          <w:sz w:val="28"/>
          <w:szCs w:val="28"/>
          <w:lang w:val="en-US" w:eastAsia="zh-CN"/>
        </w:rPr>
      </w:pPr>
      <w:r>
        <w:rPr>
          <w:rFonts w:hint="eastAsia" w:ascii="楷体" w:hAnsi="楷体" w:eastAsia="楷体"/>
          <w:sz w:val="24"/>
          <w:szCs w:val="24"/>
        </w:rPr>
        <w:t>求对合作机构进行准入，签署相关协议后，</w:t>
      </w:r>
      <w:r>
        <w:rPr>
          <w:rFonts w:hint="eastAsia" w:ascii="楷体" w:hAnsi="楷体" w:eastAsia="楷体"/>
          <w:sz w:val="24"/>
          <w:szCs w:val="24"/>
          <w:lang w:val="en-US" w:eastAsia="zh-CN"/>
        </w:rPr>
        <w:t>披露新增的投资合作机构</w:t>
      </w:r>
      <w:r>
        <w:rPr>
          <w:rFonts w:hint="eastAsia" w:ascii="楷体" w:hAnsi="楷体" w:eastAsia="楷体"/>
          <w:sz w:val="24"/>
          <w:szCs w:val="24"/>
          <w:lang w:eastAsia="zh-CN"/>
        </w:rPr>
        <w:t>。</w:t>
      </w:r>
    </w:p>
    <w:p>
      <w:pPr>
        <w:numPr>
          <w:ilvl w:val="0"/>
          <w:numId w:val="14"/>
        </w:numPr>
        <w:tabs>
          <w:tab w:val="left" w:pos="1134"/>
        </w:tabs>
        <w:ind w:firstLine="562" w:firstLineChars="200"/>
        <w:rPr>
          <w:rFonts w:hint="eastAsia" w:ascii="楷体" w:hAnsi="楷体" w:eastAsia="楷体"/>
          <w:b/>
          <w:sz w:val="28"/>
          <w:szCs w:val="28"/>
        </w:rPr>
      </w:pPr>
      <w:r>
        <w:rPr>
          <w:rFonts w:hint="eastAsia" w:ascii="楷体" w:hAnsi="楷体" w:eastAsia="楷体"/>
          <w:b/>
          <w:sz w:val="28"/>
          <w:szCs w:val="28"/>
        </w:rPr>
        <w:t>名词释义</w:t>
      </w:r>
    </w:p>
    <w:p>
      <w:pPr>
        <w:ind w:firstLine="480" w:firstLineChars="200"/>
        <w:rPr>
          <w:rFonts w:hint="eastAsia" w:ascii="楷体" w:hAnsi="楷体" w:eastAsia="楷体"/>
          <w:sz w:val="24"/>
          <w:szCs w:val="24"/>
        </w:rPr>
      </w:pPr>
      <w:r>
        <w:rPr>
          <w:rFonts w:hint="eastAsia" w:ascii="楷体" w:hAnsi="楷体" w:eastAsia="楷体"/>
          <w:sz w:val="24"/>
          <w:szCs w:val="24"/>
        </w:rPr>
        <w:t>在本理财产品说明书中，除非上下文另有明确约定，下列用词将具有如下含义：</w:t>
      </w:r>
    </w:p>
    <w:p>
      <w:pPr>
        <w:numPr>
          <w:ilvl w:val="0"/>
          <w:numId w:val="16"/>
        </w:numPr>
        <w:tabs>
          <w:tab w:val="left" w:pos="993"/>
        </w:tabs>
        <w:ind w:left="0" w:firstLine="482" w:firstLineChars="200"/>
        <w:outlineLvl w:val="2"/>
        <w:rPr>
          <w:rFonts w:hint="eastAsia" w:ascii="楷体" w:hAnsi="楷体" w:eastAsia="楷体" w:cs="Calibri"/>
          <w:b/>
          <w:sz w:val="24"/>
          <w:szCs w:val="24"/>
        </w:rPr>
      </w:pPr>
      <w:r>
        <w:rPr>
          <w:rFonts w:hint="eastAsia" w:ascii="楷体" w:hAnsi="楷体" w:eastAsia="楷体" w:cs="Calibri"/>
          <w:b/>
          <w:sz w:val="24"/>
          <w:szCs w:val="24"/>
        </w:rPr>
        <w:t>参与主体用语</w:t>
      </w:r>
    </w:p>
    <w:p>
      <w:pPr>
        <w:numPr>
          <w:ilvl w:val="0"/>
          <w:numId w:val="17"/>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★管理人/产品管理人/理财产品管理人：指苏银理财有限责任公司（本文简称“苏银理财”）。</w:t>
      </w:r>
    </w:p>
    <w:p>
      <w:pPr>
        <w:numPr>
          <w:ilvl w:val="0"/>
          <w:numId w:val="17"/>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托管人/产品托管人：指江苏银行股份有限公司（本文简称“江苏银行”）。江苏银行具备理财产品托管资格。托管人负责履行安全保管理财产品资金及其所投资的资产，办理清算、交割事宜，与管理人对账，监督理财产品投资运作等职责。</w:t>
      </w:r>
    </w:p>
    <w:p>
      <w:pPr>
        <w:numPr>
          <w:ilvl w:val="0"/>
          <w:numId w:val="17"/>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★代销机构/销售机构：指符合《关于规范金融机构资产管理业务的指导意见》、《商业银行理财业务监督管理办法》、《商业银行理财子公司管理办法》、《理财公司理财产品销售管理暂行办法》和</w:t>
      </w:r>
      <w:r>
        <w:rPr>
          <w:rFonts w:hint="eastAsia" w:ascii="楷体" w:hAnsi="楷体" w:eastAsia="楷体" w:cs="Calibri"/>
          <w:sz w:val="24"/>
          <w:szCs w:val="24"/>
          <w:lang w:val="en-US" w:eastAsia="zh-CN"/>
        </w:rPr>
        <w:t>金融监管总局</w:t>
      </w:r>
      <w:r>
        <w:rPr>
          <w:rFonts w:hint="eastAsia" w:ascii="楷体" w:hAnsi="楷体" w:eastAsia="楷体" w:cs="Calibri"/>
          <w:sz w:val="24"/>
          <w:szCs w:val="24"/>
        </w:rPr>
        <w:t>规定的其他条件，取得理财产品销售资格并与管理人签订了销售服务代理协议，代为办理销售业务的机构。代销机构接受产品管理人的委托，在该机构渠道向投资者宣传推介、销售产品管理人依法发行的资产管理产品的活动。其中，“销售”是指向投资者宣传推介资产管理产品，办理产品申购、赎回的活动。</w:t>
      </w:r>
    </w:p>
    <w:p>
      <w:pPr>
        <w:numPr>
          <w:ilvl w:val="0"/>
          <w:numId w:val="17"/>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lang w:val="en-US" w:eastAsia="zh-CN"/>
        </w:rPr>
        <w:t>监管机构：指有权对本理财产品管理人及相关合作机构实施监督管理的机构，包括但不限于中国人民银行、金融监管总局、中国证券监督管理委员会、外汇管理局、银行业理财登记托管中心等。</w:t>
      </w:r>
    </w:p>
    <w:p>
      <w:pPr>
        <w:numPr>
          <w:ilvl w:val="0"/>
          <w:numId w:val="17"/>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投资合作机构：包括但不限于理财产品所投资资产管理产品的发行机构、根据合同约定从事理财产品受托投资的机构以及与理财产品投资管理相关的投资顾问等；主要职责为进行受托资金的投资管理，根据合同约定从事受托投资或提供投资顾问等服务，具体职责以管理人与投资合作机构签署的合同为准。</w:t>
      </w:r>
    </w:p>
    <w:p>
      <w:pPr>
        <w:numPr>
          <w:ilvl w:val="0"/>
          <w:numId w:val="17"/>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投资者：指符合相关法律法规、监管规定要求的，可以购买理财产品份额的自然人和法人。</w:t>
      </w:r>
    </w:p>
    <w:p>
      <w:pPr>
        <w:numPr>
          <w:ilvl w:val="0"/>
          <w:numId w:val="0"/>
        </w:numPr>
        <w:tabs>
          <w:tab w:val="left" w:pos="993"/>
        </w:tabs>
        <w:ind w:leftChars="200"/>
        <w:rPr>
          <w:rFonts w:hint="eastAsia" w:ascii="楷体" w:hAnsi="楷体" w:eastAsia="楷体" w:cs="Calibri"/>
          <w:b/>
          <w:bCs/>
          <w:sz w:val="24"/>
          <w:szCs w:val="24"/>
        </w:rPr>
      </w:pPr>
      <w:r>
        <w:rPr>
          <w:rFonts w:hint="eastAsia" w:ascii="楷体" w:hAnsi="楷体" w:eastAsia="楷体" w:cs="Calibri"/>
          <w:b/>
          <w:bCs/>
          <w:sz w:val="24"/>
          <w:szCs w:val="24"/>
          <w:lang w:eastAsia="zh-CN"/>
        </w:rPr>
        <w:t>（</w:t>
      </w:r>
      <w:r>
        <w:rPr>
          <w:rFonts w:hint="eastAsia" w:ascii="楷体" w:hAnsi="楷体" w:eastAsia="楷体" w:cs="Calibri"/>
          <w:b/>
          <w:bCs/>
          <w:sz w:val="24"/>
          <w:szCs w:val="24"/>
          <w:lang w:val="en-US" w:eastAsia="zh-CN"/>
        </w:rPr>
        <w:t>二</w:t>
      </w:r>
      <w:r>
        <w:rPr>
          <w:rFonts w:hint="eastAsia" w:ascii="楷体" w:hAnsi="楷体" w:eastAsia="楷体" w:cs="Calibri"/>
          <w:b/>
          <w:bCs/>
          <w:sz w:val="24"/>
          <w:szCs w:val="24"/>
          <w:lang w:eastAsia="zh-CN"/>
        </w:rPr>
        <w:t>）</w:t>
      </w:r>
      <w:r>
        <w:rPr>
          <w:rFonts w:hint="eastAsia" w:ascii="楷体" w:hAnsi="楷体" w:eastAsia="楷体" w:cs="Calibri"/>
          <w:b/>
          <w:bCs/>
          <w:sz w:val="24"/>
          <w:szCs w:val="24"/>
        </w:rPr>
        <w:t>理财产品用语</w:t>
      </w:r>
    </w:p>
    <w:p>
      <w:pPr>
        <w:numPr>
          <w:ilvl w:val="0"/>
          <w:numId w:val="18"/>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理财产品</w:t>
      </w:r>
      <w:r>
        <w:rPr>
          <w:rFonts w:ascii="楷体" w:hAnsi="楷体" w:eastAsia="楷体" w:cs="Calibri"/>
          <w:sz w:val="24"/>
          <w:szCs w:val="24"/>
        </w:rPr>
        <w:t>/</w:t>
      </w:r>
      <w:r>
        <w:rPr>
          <w:rFonts w:hint="eastAsia" w:ascii="楷体" w:hAnsi="楷体" w:eastAsia="楷体" w:cs="Calibri"/>
          <w:sz w:val="24"/>
          <w:szCs w:val="24"/>
        </w:rPr>
        <w:t>产品：指苏银理财按照约定条件和实际投资收益情况向投资者支付收益、不保证本金支付和收益水平的非保本理财产品。</w:t>
      </w:r>
    </w:p>
    <w:p>
      <w:pPr>
        <w:numPr>
          <w:ilvl w:val="0"/>
          <w:numId w:val="18"/>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本理财产品</w:t>
      </w:r>
      <w:r>
        <w:rPr>
          <w:rFonts w:ascii="楷体" w:hAnsi="楷体" w:eastAsia="楷体" w:cs="Calibri"/>
          <w:sz w:val="24"/>
          <w:szCs w:val="24"/>
        </w:rPr>
        <w:t>/</w:t>
      </w:r>
      <w:r>
        <w:rPr>
          <w:rFonts w:hint="eastAsia" w:ascii="楷体" w:hAnsi="楷体" w:eastAsia="楷体" w:cs="Calibri"/>
          <w:sz w:val="24"/>
          <w:szCs w:val="24"/>
        </w:rPr>
        <w:t>本产品：指“苏银理财恒源融达1号”理财产品。</w:t>
      </w:r>
    </w:p>
    <w:p>
      <w:pPr>
        <w:numPr>
          <w:ilvl w:val="0"/>
          <w:numId w:val="18"/>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理财产品登记编码：指本款理财产品在全国银行业理财信息登记系统中的编码，投资者可在中国理财网进行查询该编码。</w:t>
      </w:r>
    </w:p>
    <w:p>
      <w:pPr>
        <w:numPr>
          <w:ilvl w:val="0"/>
          <w:numId w:val="18"/>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理财产品代码/产品代码：指本款理财产品在全国银行业理财信息登记系统中登记的内部识别码。</w:t>
      </w:r>
    </w:p>
    <w:p>
      <w:pPr>
        <w:numPr>
          <w:ilvl w:val="0"/>
          <w:numId w:val="18"/>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理财产品销售代码/销售代码：指本款理财产品可能存在不同产品份额类别，管理人在理财产品销售管理过程中为区分不同产品份额类别，在同一理财产品代码项下设置的内部识别码。</w:t>
      </w:r>
    </w:p>
    <w:p>
      <w:pPr>
        <w:numPr>
          <w:ilvl w:val="0"/>
          <w:numId w:val="18"/>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理财产品份额：指投资者持有本理财产品的单位数额。投资者基于其所持有的理财产品单位数额享有理财产品利益、承担理财产品风险。</w:t>
      </w:r>
    </w:p>
    <w:p>
      <w:pPr>
        <w:numPr>
          <w:ilvl w:val="0"/>
          <w:numId w:val="18"/>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理财产品资产净值/理财资产净值/产品资产净值：产品资产净值=产品资产总值-产品负债总值。</w:t>
      </w:r>
    </w:p>
    <w:p>
      <w:pPr>
        <w:numPr>
          <w:ilvl w:val="0"/>
          <w:numId w:val="18"/>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产品资产总值：指产品拥有的各类有价证券、银行存款、应收款项及其他资产的价值总和。</w:t>
      </w:r>
    </w:p>
    <w:p>
      <w:pPr>
        <w:numPr>
          <w:ilvl w:val="0"/>
          <w:numId w:val="18"/>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产品负债总值：指产品运作及融资时形成的负债价值总和，包括融资资金本息、应付各项费用（包括托管费、销售</w:t>
      </w:r>
      <w:r>
        <w:rPr>
          <w:rFonts w:ascii="楷体" w:hAnsi="楷体" w:eastAsia="楷体" w:cs="Calibri"/>
          <w:sz w:val="24"/>
          <w:szCs w:val="24"/>
        </w:rPr>
        <w:t>服务费、</w:t>
      </w:r>
      <w:r>
        <w:rPr>
          <w:rFonts w:hint="eastAsia" w:ascii="楷体" w:hAnsi="楷体" w:eastAsia="楷体" w:cs="Calibri"/>
          <w:sz w:val="24"/>
          <w:szCs w:val="24"/>
        </w:rPr>
        <w:t>投资管理费、超额业绩报酬、其他费用等）、应付税金及其他应付款项等。</w:t>
      </w:r>
    </w:p>
    <w:p>
      <w:pPr>
        <w:numPr>
          <w:ilvl w:val="0"/>
          <w:numId w:val="18"/>
        </w:numPr>
        <w:tabs>
          <w:tab w:val="left" w:pos="851"/>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理财产品份额单位净值/理财产品单位净值/单位净值：指理财产品份额的单位净值，即每1份理财产品份额以人民币计价的价格。理财产品单位净值=理财资产净值/产品总份额。投资者按该份额</w:t>
      </w:r>
      <w:r>
        <w:rPr>
          <w:rFonts w:hint="eastAsia" w:ascii="楷体" w:hAnsi="楷体" w:eastAsia="楷体" w:cs="Calibri"/>
          <w:sz w:val="24"/>
          <w:szCs w:val="24"/>
          <w:lang w:val="en-US" w:eastAsia="zh-CN"/>
        </w:rPr>
        <w:t>单位</w:t>
      </w:r>
      <w:r>
        <w:rPr>
          <w:rFonts w:hint="eastAsia" w:ascii="楷体" w:hAnsi="楷体" w:eastAsia="楷体" w:cs="Calibri"/>
          <w:sz w:val="24"/>
          <w:szCs w:val="24"/>
        </w:rPr>
        <w:t>净值进行理财产品申购、赎回和终止时分配。</w:t>
      </w:r>
    </w:p>
    <w:p>
      <w:pPr>
        <w:numPr>
          <w:ilvl w:val="0"/>
          <w:numId w:val="18"/>
        </w:numPr>
        <w:tabs>
          <w:tab w:val="left" w:pos="851"/>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理财产品估值：指计算评估理财产品资产和负债以确定理财产品单位净值的过程。</w:t>
      </w:r>
    </w:p>
    <w:p>
      <w:pPr>
        <w:numPr>
          <w:ilvl w:val="0"/>
          <w:numId w:val="18"/>
        </w:numPr>
        <w:tabs>
          <w:tab w:val="left" w:pos="851"/>
        </w:tabs>
        <w:ind w:left="0" w:firstLine="482" w:firstLineChars="200"/>
        <w:rPr>
          <w:rFonts w:hint="eastAsia" w:ascii="楷体" w:hAnsi="楷体" w:eastAsia="楷体" w:cs="Calibri"/>
          <w:b/>
          <w:sz w:val="24"/>
          <w:szCs w:val="24"/>
        </w:rPr>
      </w:pPr>
      <w:r>
        <w:rPr>
          <w:rFonts w:hint="eastAsia" w:ascii="楷体" w:hAnsi="楷体" w:eastAsia="楷体" w:cs="Calibri"/>
          <w:b/>
          <w:sz w:val="24"/>
          <w:szCs w:val="24"/>
        </w:rPr>
        <w:t>★业绩比较基准：指管理人基于过往投资经验及对产品存续期投资市场波动的预判而对本产品所设定的投资目标。业绩比较基准不代表理财产品未来表现，不等于理财产品实际收益，不作为产品收益的业绩保证，投资须谨慎。</w:t>
      </w:r>
    </w:p>
    <w:p>
      <w:pPr>
        <w:numPr>
          <w:ilvl w:val="0"/>
          <w:numId w:val="18"/>
        </w:numPr>
        <w:tabs>
          <w:tab w:val="left" w:pos="851"/>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理财产品利益/理财利益：指投资者因持有理财产品份额，按照销售文件约定取得或有权取得的理财产品管理人分配的理财产品资产。在理财产品对外投资资产正常回收的情况下，理财产品利益包括理财产品本金及理财产品收益。</w:t>
      </w:r>
    </w:p>
    <w:p>
      <w:pPr>
        <w:numPr>
          <w:ilvl w:val="0"/>
          <w:numId w:val="18"/>
        </w:numPr>
        <w:tabs>
          <w:tab w:val="left" w:pos="851"/>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理财产品本金/理财本金：指就每一投资者而言，指投资者为认购/申购理财产品份额而向理财产品管理人交付的货币资金，即投资者的初始投资本金。就每一理财产品份额而言，在本理财产品成立时每一理财产品份额的初始投资本金为1元。为避免疑义，理财产品本金的称谓仅为方便计算理财产品利益而创设的，并非对投资者理财产品本金不受损失的承诺。</w:t>
      </w:r>
    </w:p>
    <w:p>
      <w:pPr>
        <w:numPr>
          <w:ilvl w:val="0"/>
          <w:numId w:val="18"/>
        </w:numPr>
        <w:tabs>
          <w:tab w:val="left" w:pos="851"/>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★理财产品收益/理财收益：指投资者投资理财产品获得的投资收益，该收益为其获得分配的全部理财产品利益中扣除理财产品本金的部分。</w:t>
      </w:r>
    </w:p>
    <w:p>
      <w:pPr>
        <w:numPr>
          <w:ilvl w:val="0"/>
          <w:numId w:val="18"/>
        </w:numPr>
        <w:tabs>
          <w:tab w:val="left" w:pos="851"/>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认购：指投资者根据理财产品说明书约定在募集期内申请购买本产品理财产品份额的行为。</w:t>
      </w:r>
    </w:p>
    <w:p>
      <w:pPr>
        <w:numPr>
          <w:ilvl w:val="0"/>
          <w:numId w:val="18"/>
        </w:numPr>
        <w:tabs>
          <w:tab w:val="left" w:pos="851"/>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投资者资金账户：指投资者开立的银行账户，理财产品投资交易的资金遵循同卡进出原则，通过银行卡A认购/申购理财产品的资金，赎回或到期资金只能划转至银行卡A。</w:t>
      </w:r>
    </w:p>
    <w:p>
      <w:pPr>
        <w:numPr>
          <w:ilvl w:val="0"/>
          <w:numId w:val="18"/>
        </w:numPr>
        <w:tabs>
          <w:tab w:val="left" w:pos="851"/>
        </w:tabs>
        <w:ind w:left="0" w:firstLine="480" w:firstLineChars="200"/>
        <w:rPr>
          <w:rFonts w:hint="eastAsia" w:ascii="楷体" w:hAnsi="楷体" w:eastAsia="楷体" w:cs="Calibri"/>
          <w:sz w:val="24"/>
          <w:szCs w:val="24"/>
        </w:rPr>
      </w:pPr>
      <w:r>
        <w:rPr>
          <w:rFonts w:ascii="楷体" w:hAnsi="楷体" w:eastAsia="楷体" w:cs="Calibri"/>
          <w:sz w:val="24"/>
          <w:szCs w:val="24"/>
        </w:rPr>
        <w:t>申购、赎回申请</w:t>
      </w:r>
      <w:r>
        <w:rPr>
          <w:rFonts w:hint="eastAsia" w:ascii="楷体" w:hAnsi="楷体" w:eastAsia="楷体" w:cs="Calibri"/>
          <w:sz w:val="24"/>
          <w:szCs w:val="24"/>
        </w:rPr>
        <w:t>：</w:t>
      </w:r>
      <w:r>
        <w:rPr>
          <w:rFonts w:ascii="楷体" w:hAnsi="楷体" w:eastAsia="楷体" w:cs="Calibri"/>
          <w:sz w:val="24"/>
          <w:szCs w:val="24"/>
        </w:rPr>
        <w:t>指在</w:t>
      </w:r>
      <w:r>
        <w:rPr>
          <w:rFonts w:hint="eastAsia" w:ascii="楷体" w:hAnsi="楷体" w:eastAsia="楷体" w:cs="Calibri"/>
          <w:sz w:val="24"/>
          <w:szCs w:val="24"/>
        </w:rPr>
        <w:t>理财产品开放日</w:t>
      </w:r>
      <w:r>
        <w:rPr>
          <w:rFonts w:ascii="楷体" w:hAnsi="楷体" w:eastAsia="楷体" w:cs="Calibri"/>
          <w:sz w:val="24"/>
          <w:szCs w:val="24"/>
        </w:rPr>
        <w:t>投资者向</w:t>
      </w:r>
      <w:r>
        <w:rPr>
          <w:rFonts w:hint="eastAsia" w:ascii="楷体" w:hAnsi="楷体" w:eastAsia="楷体" w:cs="Calibri"/>
          <w:sz w:val="24"/>
          <w:szCs w:val="24"/>
        </w:rPr>
        <w:t>理财产品管理人</w:t>
      </w:r>
      <w:r>
        <w:rPr>
          <w:rFonts w:ascii="楷体" w:hAnsi="楷体" w:eastAsia="楷体" w:cs="Calibri"/>
          <w:sz w:val="24"/>
          <w:szCs w:val="24"/>
        </w:rPr>
        <w:t>提出申请对理财</w:t>
      </w:r>
      <w:r>
        <w:rPr>
          <w:rFonts w:hint="eastAsia" w:ascii="楷体" w:hAnsi="楷体" w:eastAsia="楷体" w:cs="Calibri"/>
          <w:sz w:val="24"/>
          <w:szCs w:val="24"/>
        </w:rPr>
        <w:t>产品</w:t>
      </w:r>
      <w:r>
        <w:rPr>
          <w:rFonts w:ascii="楷体" w:hAnsi="楷体" w:eastAsia="楷体" w:cs="Calibri"/>
          <w:sz w:val="24"/>
          <w:szCs w:val="24"/>
        </w:rPr>
        <w:t>份额进行购买或卖出的行为。</w:t>
      </w:r>
    </w:p>
    <w:p>
      <w:pPr>
        <w:numPr>
          <w:ilvl w:val="0"/>
          <w:numId w:val="18"/>
        </w:numPr>
        <w:tabs>
          <w:tab w:val="left" w:pos="851"/>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巨额赎回：理财产品每个开放日投资者净赎回额（赎回申请份额总数扣除申购申请份额总数）超过本理财产品上一工作日日终份额10%时，即为发生巨额赎回。</w:t>
      </w:r>
    </w:p>
    <w:p>
      <w:pPr>
        <w:numPr>
          <w:ilvl w:val="0"/>
          <w:numId w:val="18"/>
        </w:numPr>
        <w:tabs>
          <w:tab w:val="left" w:pos="851"/>
        </w:tabs>
        <w:ind w:left="0" w:firstLine="480" w:firstLineChars="200"/>
        <w:rPr>
          <w:rFonts w:hint="eastAsia" w:ascii="楷体" w:hAnsi="楷体" w:eastAsia="楷体" w:cs="Calibri"/>
          <w:sz w:val="24"/>
          <w:szCs w:val="24"/>
        </w:rPr>
      </w:pPr>
      <w:r>
        <w:rPr>
          <w:rFonts w:hint="eastAsia" w:ascii="楷体" w:hAnsi="楷体" w:eastAsia="楷体" w:cs="Calibri"/>
          <w:sz w:val="24"/>
          <w:szCs w:val="24"/>
          <w:lang w:val="en-US" w:eastAsia="zh-CN"/>
        </w:rPr>
        <w:t>流动性受限资产：</w:t>
      </w:r>
      <w:r>
        <w:rPr>
          <w:rFonts w:hint="eastAsia" w:ascii="楷体" w:hAnsi="楷体" w:eastAsia="楷体" w:cs="Calibri"/>
          <w:kern w:val="2"/>
          <w:sz w:val="24"/>
          <w:szCs w:val="24"/>
        </w:rPr>
        <w:t>是指由于法律法规、监管、合同或操作障碍等原因无法以合理价格予以变现的资产，包括到期日在10个交易日以上的逆回购与银行定期存款（含协议约定有条件提前支取的银行存款）、距可赎回日在10个交易日以上的资产管理产品、停牌股票、流通受限的新股及非公开发行股票、资产支持证券（票据），因发行人债务违约无法进行转让或交易的债券和非金融企业债务融资工具，以及其他流动性受限资产。</w:t>
      </w:r>
      <w:r>
        <w:rPr>
          <w:rFonts w:hint="eastAsia" w:ascii="楷体" w:hAnsi="楷体" w:eastAsia="楷体" w:cs="Calibri"/>
          <w:kern w:val="2"/>
          <w:sz w:val="24"/>
          <w:szCs w:val="24"/>
          <w:lang w:val="en-US" w:eastAsia="zh-CN"/>
        </w:rPr>
        <w:t>法律法规或监管机构另有规定的，从其规定。</w:t>
      </w:r>
    </w:p>
    <w:p>
      <w:pPr>
        <w:numPr>
          <w:ilvl w:val="0"/>
          <w:numId w:val="18"/>
        </w:numPr>
        <w:tabs>
          <w:tab w:val="left" w:pos="851"/>
        </w:tabs>
        <w:ind w:left="0" w:firstLine="480" w:firstLineChars="200"/>
        <w:rPr>
          <w:rFonts w:hint="eastAsia" w:ascii="楷体" w:hAnsi="楷体" w:eastAsia="楷体" w:cs="Calibri"/>
          <w:sz w:val="24"/>
          <w:szCs w:val="24"/>
        </w:rPr>
      </w:pPr>
      <w:r>
        <w:rPr>
          <w:rFonts w:hint="eastAsia" w:ascii="楷体" w:hAnsi="楷体" w:eastAsia="楷体" w:cs="Calibri"/>
          <w:kern w:val="2"/>
          <w:sz w:val="24"/>
          <w:szCs w:val="24"/>
        </w:rPr>
        <w:t>7个工作日可变现资产</w:t>
      </w:r>
      <w:r>
        <w:rPr>
          <w:rFonts w:hint="eastAsia" w:ascii="楷体" w:hAnsi="楷体" w:eastAsia="楷体" w:cs="Calibri"/>
          <w:kern w:val="2"/>
          <w:sz w:val="24"/>
          <w:szCs w:val="24"/>
          <w:lang w:eastAsia="zh-CN"/>
        </w:rPr>
        <w:t>：</w:t>
      </w:r>
      <w:r>
        <w:rPr>
          <w:rFonts w:hint="eastAsia" w:ascii="楷体" w:hAnsi="楷体" w:eastAsia="楷体" w:cs="Calibri"/>
          <w:kern w:val="2"/>
          <w:sz w:val="24"/>
          <w:szCs w:val="24"/>
        </w:rPr>
        <w:t>包括可在交易所、银行间市场正常交易的股票、债券、非金融企业债务融资工具、期货及期权合约以及同业存单，7个工作日内到期或可支取的买入返售、银行存款，7个工作日内能够确认收到的各类应收款项等。</w:t>
      </w:r>
    </w:p>
    <w:p>
      <w:pPr>
        <w:numPr>
          <w:ilvl w:val="0"/>
          <w:numId w:val="0"/>
        </w:numPr>
        <w:tabs>
          <w:tab w:val="left" w:pos="993"/>
        </w:tabs>
        <w:ind w:leftChars="200"/>
        <w:rPr>
          <w:rFonts w:hint="eastAsia" w:ascii="楷体" w:hAnsi="楷体" w:eastAsia="楷体" w:cs="Calibri"/>
          <w:b/>
          <w:bCs/>
          <w:sz w:val="24"/>
          <w:szCs w:val="24"/>
        </w:rPr>
      </w:pPr>
      <w:r>
        <w:rPr>
          <w:rFonts w:hint="eastAsia" w:ascii="楷体" w:hAnsi="楷体" w:eastAsia="楷体" w:cs="Calibri"/>
          <w:b/>
          <w:bCs/>
          <w:sz w:val="24"/>
          <w:szCs w:val="24"/>
          <w:lang w:eastAsia="zh-CN"/>
        </w:rPr>
        <w:t>（</w:t>
      </w:r>
      <w:r>
        <w:rPr>
          <w:rFonts w:hint="eastAsia" w:ascii="楷体" w:hAnsi="楷体" w:eastAsia="楷体" w:cs="Calibri"/>
          <w:b/>
          <w:bCs/>
          <w:sz w:val="24"/>
          <w:szCs w:val="24"/>
          <w:lang w:val="en-US" w:eastAsia="zh-CN"/>
        </w:rPr>
        <w:t>三</w:t>
      </w:r>
      <w:r>
        <w:rPr>
          <w:rFonts w:hint="eastAsia" w:ascii="楷体" w:hAnsi="楷体" w:eastAsia="楷体" w:cs="Calibri"/>
          <w:b/>
          <w:bCs/>
          <w:sz w:val="24"/>
          <w:szCs w:val="24"/>
          <w:lang w:eastAsia="zh-CN"/>
        </w:rPr>
        <w:t>）</w:t>
      </w:r>
      <w:r>
        <w:rPr>
          <w:rFonts w:hint="eastAsia" w:ascii="楷体" w:hAnsi="楷体" w:eastAsia="楷体" w:cs="Calibri"/>
          <w:b/>
          <w:bCs/>
          <w:sz w:val="24"/>
          <w:szCs w:val="24"/>
        </w:rPr>
        <w:t>期间与日期</w:t>
      </w:r>
    </w:p>
    <w:p>
      <w:pPr>
        <w:numPr>
          <w:ilvl w:val="0"/>
          <w:numId w:val="19"/>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工作日：</w:t>
      </w:r>
      <w:r>
        <w:rPr>
          <w:rFonts w:ascii="楷体" w:hAnsi="楷体" w:eastAsia="楷体" w:cs="Calibri"/>
          <w:sz w:val="24"/>
          <w:szCs w:val="24"/>
        </w:rPr>
        <w:t>指上海证券交易所和深圳证券交易所的正常开盘交易日</w:t>
      </w:r>
      <w:r>
        <w:rPr>
          <w:rFonts w:hint="eastAsia" w:ascii="楷体" w:hAnsi="楷体" w:eastAsia="楷体" w:cs="Calibri"/>
          <w:sz w:val="24"/>
          <w:szCs w:val="24"/>
        </w:rPr>
        <w:t>。</w:t>
      </w:r>
    </w:p>
    <w:p>
      <w:pPr>
        <w:numPr>
          <w:ilvl w:val="0"/>
          <w:numId w:val="19"/>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交易日：</w:t>
      </w:r>
      <w:r>
        <w:rPr>
          <w:rFonts w:ascii="楷体" w:hAnsi="楷体" w:eastAsia="楷体" w:cs="Calibri"/>
          <w:sz w:val="24"/>
          <w:szCs w:val="24"/>
        </w:rPr>
        <w:t>指上海证券交易所和深圳证券交易所的正常开盘交易日</w:t>
      </w:r>
      <w:r>
        <w:rPr>
          <w:rFonts w:hint="eastAsia" w:ascii="楷体" w:hAnsi="楷体" w:eastAsia="楷体" w:cs="Calibri"/>
          <w:sz w:val="24"/>
          <w:szCs w:val="24"/>
        </w:rPr>
        <w:t>。</w:t>
      </w:r>
    </w:p>
    <w:p>
      <w:pPr>
        <w:numPr>
          <w:ilvl w:val="0"/>
          <w:numId w:val="19"/>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成立日：指本产品开始运作的日期。</w:t>
      </w:r>
    </w:p>
    <w:p>
      <w:pPr>
        <w:numPr>
          <w:ilvl w:val="0"/>
          <w:numId w:val="19"/>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份额登记日/份额确认日：指管理人对投资者提交的认购申请进行份额登记的日期。</w:t>
      </w:r>
    </w:p>
    <w:p>
      <w:pPr>
        <w:numPr>
          <w:ilvl w:val="0"/>
          <w:numId w:val="19"/>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终止日/到期日：指本产品终止的日期。</w:t>
      </w:r>
    </w:p>
    <w:p>
      <w:pPr>
        <w:numPr>
          <w:ilvl w:val="0"/>
          <w:numId w:val="19"/>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估值日：指产品管理人对理财产品项下资产进行估值的日期。</w:t>
      </w:r>
    </w:p>
    <w:p>
      <w:pPr>
        <w:numPr>
          <w:ilvl w:val="0"/>
          <w:numId w:val="19"/>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兑付日：指投资者理财资金到达投资者资金账户的日期。</w:t>
      </w:r>
    </w:p>
    <w:p>
      <w:pPr>
        <w:numPr>
          <w:ilvl w:val="0"/>
          <w:numId w:val="19"/>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募集期：指理财产品成立前，理财产品管理人接受理财产品认购的时间。</w:t>
      </w:r>
    </w:p>
    <w:p>
      <w:pPr>
        <w:numPr>
          <w:ilvl w:val="0"/>
          <w:numId w:val="19"/>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投资周期：投资周期指投资者持有理财产品份额所对应的理财资金由产品管理人进行投资运作的一段完整期间，每一个投资周期为该投资周期起始日至该投资周期终止日的理财期间。投资周期起始日：指每一个投资周期开始的日期。投资周期终止日：指每一个投资周期结束的日期。</w:t>
      </w:r>
    </w:p>
    <w:p>
      <w:pPr>
        <w:numPr>
          <w:ilvl w:val="0"/>
          <w:numId w:val="19"/>
        </w:numPr>
        <w:tabs>
          <w:tab w:val="left" w:pos="851"/>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产品存续期：指自理财产品成立日起，至理财产品终止日的期间。</w:t>
      </w:r>
    </w:p>
    <w:p>
      <w:pPr>
        <w:numPr>
          <w:ilvl w:val="0"/>
          <w:numId w:val="0"/>
        </w:numPr>
        <w:tabs>
          <w:tab w:val="left" w:pos="993"/>
        </w:tabs>
        <w:ind w:leftChars="200"/>
        <w:rPr>
          <w:rFonts w:hint="eastAsia" w:ascii="楷体" w:hAnsi="楷体" w:eastAsia="楷体" w:cs="Calibri"/>
          <w:b/>
          <w:bCs/>
          <w:sz w:val="24"/>
          <w:szCs w:val="24"/>
        </w:rPr>
      </w:pPr>
      <w:r>
        <w:rPr>
          <w:rFonts w:hint="eastAsia" w:ascii="楷体" w:hAnsi="楷体" w:eastAsia="楷体" w:cs="Calibri"/>
          <w:b/>
          <w:bCs/>
          <w:sz w:val="24"/>
          <w:szCs w:val="24"/>
          <w:lang w:eastAsia="zh-CN"/>
        </w:rPr>
        <w:t>（</w:t>
      </w:r>
      <w:r>
        <w:rPr>
          <w:rFonts w:hint="eastAsia" w:ascii="楷体" w:hAnsi="楷体" w:eastAsia="楷体" w:cs="Calibri"/>
          <w:b/>
          <w:bCs/>
          <w:sz w:val="24"/>
          <w:szCs w:val="24"/>
          <w:lang w:val="en-US" w:eastAsia="zh-CN"/>
        </w:rPr>
        <w:t>四</w:t>
      </w:r>
      <w:r>
        <w:rPr>
          <w:rFonts w:hint="eastAsia" w:ascii="楷体" w:hAnsi="楷体" w:eastAsia="楷体" w:cs="Calibri"/>
          <w:b/>
          <w:bCs/>
          <w:sz w:val="24"/>
          <w:szCs w:val="24"/>
          <w:lang w:eastAsia="zh-CN"/>
        </w:rPr>
        <w:t>）</w:t>
      </w:r>
      <w:r>
        <w:rPr>
          <w:rFonts w:hint="eastAsia" w:ascii="楷体" w:hAnsi="楷体" w:eastAsia="楷体" w:cs="Calibri"/>
          <w:b/>
          <w:bCs/>
          <w:sz w:val="24"/>
          <w:szCs w:val="24"/>
        </w:rPr>
        <w:t>其他</w:t>
      </w:r>
    </w:p>
    <w:p>
      <w:pPr>
        <w:numPr>
          <w:ilvl w:val="0"/>
          <w:numId w:val="20"/>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元：指人民币元。</w:t>
      </w:r>
    </w:p>
    <w:p>
      <w:pPr>
        <w:numPr>
          <w:ilvl w:val="0"/>
          <w:numId w:val="20"/>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适用法律：指在理财销售文件签署日和履行过程中，中国（不包括香港特别行政区、澳门特别行政区和台湾地区）任何立法机构、政府部门、银行间交易商协会、证券交易所、证券登记结算机构、基金业协会依法颁布的，适用于本理财产品相关事宜的法律、行政法规、地方法规、部委规章、地方政府规章、规范性文件、规则、通知、须知、业务指南、指引或操作规程，及其有效的修改、更新或补充。</w:t>
      </w:r>
    </w:p>
    <w:p>
      <w:pPr>
        <w:numPr>
          <w:ilvl w:val="0"/>
          <w:numId w:val="20"/>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lang w:val="en-US" w:eastAsia="zh-CN"/>
        </w:rPr>
        <w:t>不可抗力：指理财产品合同各方当事人所不能预见、不能避免且不能克服的客观情况，使得任何一方当事人无法及时履行理财合同的全部或部分义务，该类事件包括但不限于：</w:t>
      </w:r>
    </w:p>
    <w:p>
      <w:pPr>
        <w:numPr>
          <w:ilvl w:val="0"/>
          <w:numId w:val="21"/>
        </w:numPr>
        <w:tabs>
          <w:tab w:val="left" w:pos="728"/>
        </w:tabs>
        <w:ind w:left="420" w:leftChars="200" w:firstLine="0" w:firstLineChars="0"/>
        <w:rPr>
          <w:rFonts w:hint="eastAsia" w:ascii="楷体" w:hAnsi="楷体" w:eastAsia="楷体" w:cs="Calibri"/>
          <w:sz w:val="24"/>
          <w:szCs w:val="24"/>
          <w:lang w:val="en-US" w:eastAsia="zh-CN"/>
        </w:rPr>
      </w:pPr>
      <w:r>
        <w:rPr>
          <w:rFonts w:hint="eastAsia" w:ascii="楷体" w:hAnsi="楷体" w:eastAsia="楷体" w:cs="Calibri"/>
          <w:sz w:val="24"/>
          <w:szCs w:val="24"/>
          <w:lang w:val="en-US" w:eastAsia="zh-CN"/>
        </w:rPr>
        <w:t>地震、海啸、台风、洪水、火灾、停电、严重传染病等。</w:t>
      </w:r>
    </w:p>
    <w:p>
      <w:pPr>
        <w:numPr>
          <w:ilvl w:val="0"/>
          <w:numId w:val="21"/>
        </w:numPr>
        <w:tabs>
          <w:tab w:val="left" w:pos="728"/>
        </w:tabs>
        <w:ind w:left="420" w:leftChars="200" w:firstLine="0" w:firstLineChars="0"/>
        <w:rPr>
          <w:rFonts w:hint="default" w:ascii="楷体" w:hAnsi="楷体" w:eastAsia="楷体" w:cs="Calibri"/>
          <w:sz w:val="24"/>
          <w:szCs w:val="24"/>
          <w:lang w:val="en-US" w:eastAsia="zh-CN"/>
        </w:rPr>
      </w:pPr>
      <w:r>
        <w:rPr>
          <w:rFonts w:hint="eastAsia" w:ascii="楷体" w:hAnsi="楷体" w:eastAsia="楷体" w:cs="Calibri"/>
          <w:sz w:val="24"/>
          <w:szCs w:val="24"/>
          <w:lang w:val="en-US" w:eastAsia="zh-CN"/>
        </w:rPr>
        <w:t>战争、政变、恐怖主义、骚乱、罢工等。</w:t>
      </w:r>
    </w:p>
    <w:p>
      <w:pPr>
        <w:numPr>
          <w:ilvl w:val="0"/>
          <w:numId w:val="0"/>
        </w:numPr>
        <w:tabs>
          <w:tab w:val="left" w:pos="728"/>
        </w:tabs>
        <w:ind w:left="0" w:leftChars="0" w:firstLine="408" w:firstLineChars="170"/>
        <w:rPr>
          <w:rFonts w:hint="eastAsia" w:ascii="楷体" w:hAnsi="楷体" w:eastAsia="楷体" w:cs="Calibri"/>
          <w:sz w:val="24"/>
          <w:szCs w:val="24"/>
          <w:lang w:val="en-US" w:eastAsia="zh-CN"/>
        </w:rPr>
      </w:pPr>
      <w:r>
        <w:rPr>
          <w:rFonts w:hint="eastAsia" w:ascii="楷体" w:hAnsi="楷体" w:eastAsia="楷体" w:cs="Calibri"/>
          <w:sz w:val="24"/>
          <w:szCs w:val="24"/>
          <w:lang w:val="en-US" w:eastAsia="zh-CN"/>
        </w:rPr>
        <w:t>（3）新的法律法规、国家政策颁布实施导致原适用的法律法规、国家政策失效。</w:t>
      </w:r>
    </w:p>
    <w:p>
      <w:pPr>
        <w:numPr>
          <w:ilvl w:val="0"/>
          <w:numId w:val="0"/>
        </w:numPr>
        <w:tabs>
          <w:tab w:val="left" w:pos="728"/>
        </w:tabs>
        <w:ind w:left="0" w:leftChars="0" w:firstLine="408" w:firstLineChars="170"/>
        <w:rPr>
          <w:rFonts w:hint="eastAsia" w:ascii="楷体" w:hAnsi="楷体" w:eastAsia="楷体" w:cs="Calibri"/>
          <w:sz w:val="24"/>
          <w:szCs w:val="24"/>
          <w:lang w:val="en-US" w:eastAsia="zh-CN"/>
        </w:rPr>
      </w:pPr>
      <w:r>
        <w:rPr>
          <w:rFonts w:hint="eastAsia" w:ascii="楷体" w:hAnsi="楷体" w:eastAsia="楷体" w:cs="Calibri"/>
          <w:sz w:val="24"/>
          <w:szCs w:val="24"/>
          <w:lang w:val="en-US" w:eastAsia="zh-CN"/>
        </w:rPr>
        <w:t>（4）因不可归咎于理财产品合同当事人的事由，金融监管机构强制要求终止该理财产品。</w:t>
      </w:r>
    </w:p>
    <w:p>
      <w:pPr>
        <w:numPr>
          <w:ilvl w:val="0"/>
          <w:numId w:val="0"/>
        </w:numPr>
        <w:tabs>
          <w:tab w:val="left" w:pos="728"/>
        </w:tabs>
        <w:ind w:left="0" w:leftChars="0" w:firstLine="408" w:firstLineChars="170"/>
        <w:rPr>
          <w:rFonts w:hint="eastAsia" w:ascii="楷体" w:hAnsi="楷体" w:eastAsia="楷体" w:cs="Calibri"/>
          <w:sz w:val="24"/>
          <w:szCs w:val="24"/>
          <w:lang w:val="en-US" w:eastAsia="zh-CN"/>
        </w:rPr>
      </w:pPr>
      <w:r>
        <w:rPr>
          <w:rFonts w:hint="eastAsia" w:ascii="楷体" w:hAnsi="楷体" w:eastAsia="楷体" w:cs="Calibri"/>
          <w:sz w:val="24"/>
          <w:szCs w:val="24"/>
          <w:lang w:val="en-US" w:eastAsia="zh-CN"/>
        </w:rPr>
        <w:t>（5）网络系统遭受攻击、电信部门技术调整或故障等原因导致的服务中断和延迟等。</w:t>
      </w:r>
    </w:p>
    <w:p>
      <w:pPr>
        <w:numPr>
          <w:ilvl w:val="0"/>
          <w:numId w:val="14"/>
        </w:numPr>
        <w:tabs>
          <w:tab w:val="left" w:pos="1134"/>
        </w:tabs>
        <w:ind w:firstLine="562" w:firstLineChars="200"/>
        <w:rPr>
          <w:rFonts w:ascii="楷体" w:hAnsi="楷体" w:eastAsia="楷体"/>
          <w:b/>
          <w:sz w:val="28"/>
          <w:szCs w:val="28"/>
        </w:rPr>
      </w:pPr>
      <w:r>
        <w:rPr>
          <w:rFonts w:hint="eastAsia" w:ascii="楷体" w:hAnsi="楷体" w:eastAsia="楷体"/>
          <w:b/>
          <w:sz w:val="28"/>
          <w:szCs w:val="28"/>
        </w:rPr>
        <w:t>风险评级</w:t>
      </w:r>
    </w:p>
    <w:p>
      <w:pPr>
        <w:ind w:firstLine="480" w:firstLineChars="200"/>
        <w:rPr>
          <w:rFonts w:hint="eastAsia" w:ascii="楷体" w:hAnsi="楷体" w:eastAsia="楷体"/>
          <w:sz w:val="24"/>
          <w:szCs w:val="24"/>
        </w:rPr>
      </w:pPr>
      <w:r>
        <w:rPr>
          <w:rFonts w:hint="eastAsia" w:ascii="楷体" w:hAnsi="楷体" w:eastAsia="楷体"/>
          <w:sz w:val="24"/>
          <w:szCs w:val="24"/>
        </w:rPr>
        <w:t>本理财产品经苏银理财内部风险评级为</w:t>
      </w:r>
      <w:r>
        <w:rPr>
          <w:rFonts w:hint="eastAsia" w:ascii="楷体" w:hAnsi="楷体" w:eastAsia="楷体"/>
          <w:b/>
          <w:sz w:val="24"/>
          <w:szCs w:val="24"/>
          <w:u w:val="single"/>
        </w:rPr>
        <w:t>★★二级，适合中低风险型投资者，适合投资策略为稳健发展</w:t>
      </w:r>
      <w:r>
        <w:rPr>
          <w:rFonts w:hint="eastAsia" w:ascii="楷体" w:hAnsi="楷体" w:eastAsia="楷体"/>
          <w:b/>
          <w:sz w:val="24"/>
          <w:szCs w:val="24"/>
          <w:u w:val="single"/>
          <w:lang w:val="en-US" w:eastAsia="zh-CN"/>
        </w:rPr>
        <w:t>的投资者</w:t>
      </w:r>
      <w:r>
        <w:rPr>
          <w:rFonts w:hint="eastAsia" w:ascii="楷体" w:hAnsi="楷体" w:eastAsia="楷体"/>
          <w:sz w:val="24"/>
          <w:szCs w:val="24"/>
        </w:rPr>
        <w:t>。本评级为苏银理财有限责任公司内部评级，由苏银理财根据理财产品的投资组合、同类产品过往业绩和风险状况等因素，对理财产品进行评级，仅供客户参考。</w:t>
      </w:r>
    </w:p>
    <w:p>
      <w:pPr>
        <w:ind w:firstLine="480" w:firstLineChars="200"/>
        <w:rPr>
          <w:rFonts w:hint="eastAsia" w:ascii="楷体" w:hAnsi="楷体" w:eastAsia="楷体"/>
          <w:sz w:val="24"/>
          <w:szCs w:val="24"/>
        </w:rPr>
      </w:pPr>
      <w:r>
        <w:rPr>
          <w:rFonts w:hint="eastAsia" w:ascii="楷体" w:hAnsi="楷体" w:eastAsia="楷体"/>
          <w:sz w:val="24"/>
          <w:szCs w:val="24"/>
          <w:highlight w:val="none"/>
        </w:rPr>
        <w:t>如本产品通过代理销售机构渠道销售</w:t>
      </w:r>
      <w:r>
        <w:rPr>
          <w:rFonts w:hint="eastAsia" w:ascii="楷体" w:hAnsi="楷体" w:eastAsia="楷体"/>
          <w:sz w:val="24"/>
          <w:szCs w:val="24"/>
          <w:highlight w:val="none"/>
          <w:lang w:eastAsia="zh-CN"/>
        </w:rPr>
        <w:t>，</w:t>
      </w:r>
      <w:r>
        <w:rPr>
          <w:rFonts w:hint="eastAsia" w:ascii="楷体" w:hAnsi="楷体" w:eastAsia="楷体"/>
          <w:sz w:val="24"/>
          <w:szCs w:val="24"/>
        </w:rPr>
        <w:t>代理销售机构应当根据本机构的方式和方法，依据理财产品的投资组合、同类产品过往业绩和风险状况等因素，独立、审慎地对代理销售的理财产品进行销售评级，并向苏银理财及时、准确提供本机构销售评级结果等信息。销售评级与苏银理财产品评级结果不一致的，代理销售机构应当采用对应较高风险等级的评级结果并予以披露。</w:t>
      </w:r>
    </w:p>
    <w:p>
      <w:pPr>
        <w:ind w:firstLine="482" w:firstLineChars="200"/>
        <w:rPr>
          <w:rFonts w:ascii="楷体" w:hAnsi="楷体" w:eastAsia="楷体"/>
          <w:b/>
          <w:sz w:val="24"/>
          <w:szCs w:val="24"/>
          <w:u w:val="single"/>
        </w:rPr>
      </w:pPr>
      <w:r>
        <w:rPr>
          <w:rFonts w:hint="eastAsia" w:ascii="楷体" w:hAnsi="楷体" w:eastAsia="楷体"/>
          <w:b/>
          <w:bCs/>
          <w:sz w:val="24"/>
          <w:szCs w:val="24"/>
          <w:highlight w:val="none"/>
          <w:u w:val="single"/>
        </w:rPr>
        <w:t>如本产品通过代理销售机构渠道销售</w:t>
      </w:r>
      <w:r>
        <w:rPr>
          <w:rFonts w:hint="eastAsia" w:ascii="楷体" w:hAnsi="楷体" w:eastAsia="楷体"/>
          <w:b/>
          <w:sz w:val="24"/>
          <w:szCs w:val="24"/>
          <w:u w:val="single"/>
        </w:rPr>
        <w:t>，理财产品评级以代理销售机构最终披露的评级结果为准。</w:t>
      </w:r>
    </w:p>
    <w:p>
      <w:pPr>
        <w:ind w:firstLine="480" w:firstLineChars="200"/>
        <w:rPr>
          <w:rFonts w:hint="eastAsia" w:ascii="楷体" w:hAnsi="楷体" w:eastAsia="楷体"/>
          <w:b/>
          <w:sz w:val="24"/>
          <w:szCs w:val="24"/>
          <w:u w:val="single"/>
        </w:rPr>
      </w:pPr>
      <w:r>
        <w:rPr>
          <w:rFonts w:hint="eastAsia" w:ascii="楷体" w:hAnsi="楷体" w:eastAsia="楷体"/>
          <w:sz w:val="24"/>
          <w:szCs w:val="24"/>
        </w:rPr>
        <w:t>销售机构负责完成投资者风险承受能力评估，并在遵循投资者适当性原则的前提下进行本理财产品的销售活动。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3"/>
        <w:gridCol w:w="1842"/>
        <w:gridCol w:w="2268"/>
        <w:gridCol w:w="2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2143" w:type="dxa"/>
            <w:noWrap w:val="0"/>
            <w:vAlign w:val="center"/>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风险星级</w:t>
            </w:r>
          </w:p>
        </w:tc>
        <w:tc>
          <w:tcPr>
            <w:tcW w:w="1842" w:type="dxa"/>
            <w:noWrap w:val="0"/>
            <w:vAlign w:val="center"/>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风险级别</w:t>
            </w:r>
          </w:p>
        </w:tc>
        <w:tc>
          <w:tcPr>
            <w:tcW w:w="2268" w:type="dxa"/>
            <w:noWrap w:val="0"/>
            <w:vAlign w:val="center"/>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适合的投资者类别</w:t>
            </w:r>
          </w:p>
        </w:tc>
        <w:tc>
          <w:tcPr>
            <w:tcW w:w="2084" w:type="dxa"/>
            <w:noWrap w:val="0"/>
            <w:vAlign w:val="center"/>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适合投资策略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2143" w:type="dxa"/>
            <w:tcBorders>
              <w:bottom w:val="single" w:color="auto" w:sz="4" w:space="0"/>
            </w:tcBorders>
            <w:noWrap w:val="0"/>
            <w:vAlign w:val="bottom"/>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w:t>
            </w:r>
          </w:p>
        </w:tc>
        <w:tc>
          <w:tcPr>
            <w:tcW w:w="1842" w:type="dxa"/>
            <w:tcBorders>
              <w:bottom w:val="single" w:color="auto" w:sz="4" w:space="0"/>
            </w:tcBorders>
            <w:noWrap w:val="0"/>
            <w:vAlign w:val="center"/>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一级（PR1）</w:t>
            </w:r>
          </w:p>
        </w:tc>
        <w:tc>
          <w:tcPr>
            <w:tcW w:w="2268" w:type="dxa"/>
            <w:tcBorders>
              <w:bottom w:val="single" w:color="auto" w:sz="4" w:space="0"/>
            </w:tcBorders>
            <w:noWrap w:val="0"/>
            <w:vAlign w:val="center"/>
          </w:tcPr>
          <w:p>
            <w:pPr>
              <w:autoSpaceDE w:val="0"/>
              <w:autoSpaceDN w:val="0"/>
              <w:adjustRightInd w:val="0"/>
              <w:jc w:val="center"/>
              <w:rPr>
                <w:rFonts w:hint="eastAsia" w:ascii="楷体" w:hAnsi="楷体" w:eastAsia="楷体" w:cs="浠垮畫"/>
                <w:kern w:val="0"/>
                <w:sz w:val="24"/>
                <w:szCs w:val="24"/>
              </w:rPr>
            </w:pPr>
            <w:r>
              <w:rPr>
                <w:rFonts w:hint="eastAsia" w:ascii="楷体" w:hAnsi="楷体" w:eastAsia="楷体" w:cs="浠垮畫"/>
                <w:kern w:val="0"/>
                <w:sz w:val="24"/>
                <w:szCs w:val="24"/>
              </w:rPr>
              <w:t>低风险型</w:t>
            </w:r>
          </w:p>
        </w:tc>
        <w:tc>
          <w:tcPr>
            <w:tcW w:w="2084" w:type="dxa"/>
            <w:tcBorders>
              <w:bottom w:val="single" w:color="auto" w:sz="4" w:space="0"/>
            </w:tcBorders>
            <w:noWrap w:val="0"/>
            <w:vAlign w:val="center"/>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风险控制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2143" w:type="dxa"/>
            <w:shd w:val="clear" w:color="auto" w:fill="FFFFFF"/>
            <w:noWrap w:val="0"/>
            <w:vAlign w:val="bottom"/>
          </w:tcPr>
          <w:p>
            <w:pPr>
              <w:autoSpaceDE w:val="0"/>
              <w:autoSpaceDN w:val="0"/>
              <w:adjustRightInd w:val="0"/>
              <w:jc w:val="center"/>
              <w:rPr>
                <w:rFonts w:ascii="楷体" w:hAnsi="楷体" w:eastAsia="楷体" w:cs="浠垮畫"/>
                <w:b/>
                <w:kern w:val="0"/>
                <w:sz w:val="24"/>
                <w:szCs w:val="24"/>
              </w:rPr>
            </w:pPr>
            <w:r>
              <w:rPr>
                <w:rFonts w:hint="eastAsia" w:ascii="楷体" w:hAnsi="楷体" w:eastAsia="楷体" w:cs="浠垮畫"/>
                <w:b/>
                <w:kern w:val="0"/>
                <w:sz w:val="24"/>
                <w:szCs w:val="24"/>
              </w:rPr>
              <w:t>★★</w:t>
            </w:r>
          </w:p>
        </w:tc>
        <w:tc>
          <w:tcPr>
            <w:tcW w:w="1842" w:type="dxa"/>
            <w:shd w:val="clear" w:color="auto" w:fill="FFFFFF"/>
            <w:noWrap w:val="0"/>
            <w:vAlign w:val="center"/>
          </w:tcPr>
          <w:p>
            <w:pPr>
              <w:autoSpaceDE w:val="0"/>
              <w:autoSpaceDN w:val="0"/>
              <w:adjustRightInd w:val="0"/>
              <w:jc w:val="center"/>
              <w:rPr>
                <w:rFonts w:ascii="楷体" w:hAnsi="楷体" w:eastAsia="楷体" w:cs="浠垮畫"/>
                <w:b/>
                <w:kern w:val="0"/>
                <w:sz w:val="24"/>
                <w:szCs w:val="24"/>
              </w:rPr>
            </w:pPr>
            <w:r>
              <w:rPr>
                <w:rFonts w:hint="eastAsia" w:ascii="楷体" w:hAnsi="楷体" w:eastAsia="楷体" w:cs="浠垮畫"/>
                <w:b/>
                <w:kern w:val="0"/>
                <w:sz w:val="24"/>
                <w:szCs w:val="24"/>
              </w:rPr>
              <w:t>二级（PR2）</w:t>
            </w:r>
          </w:p>
        </w:tc>
        <w:tc>
          <w:tcPr>
            <w:tcW w:w="2268" w:type="dxa"/>
            <w:shd w:val="clear" w:color="auto" w:fill="FFFFFF"/>
            <w:noWrap w:val="0"/>
            <w:vAlign w:val="center"/>
          </w:tcPr>
          <w:p>
            <w:pPr>
              <w:autoSpaceDE w:val="0"/>
              <w:autoSpaceDN w:val="0"/>
              <w:adjustRightInd w:val="0"/>
              <w:jc w:val="center"/>
              <w:rPr>
                <w:rFonts w:ascii="楷体" w:hAnsi="楷体" w:eastAsia="楷体" w:cs="浠垮畫"/>
                <w:b/>
                <w:kern w:val="0"/>
                <w:sz w:val="24"/>
                <w:szCs w:val="24"/>
              </w:rPr>
            </w:pPr>
            <w:r>
              <w:rPr>
                <w:rFonts w:hint="eastAsia" w:ascii="楷体" w:hAnsi="楷体" w:eastAsia="楷体" w:cs="浠垮畫"/>
                <w:b/>
                <w:kern w:val="0"/>
                <w:sz w:val="24"/>
                <w:szCs w:val="24"/>
              </w:rPr>
              <w:t>中低风险型</w:t>
            </w:r>
          </w:p>
        </w:tc>
        <w:tc>
          <w:tcPr>
            <w:tcW w:w="2084" w:type="dxa"/>
            <w:shd w:val="clear" w:color="auto" w:fill="FFFFFF"/>
            <w:noWrap w:val="0"/>
            <w:vAlign w:val="center"/>
          </w:tcPr>
          <w:p>
            <w:pPr>
              <w:autoSpaceDE w:val="0"/>
              <w:autoSpaceDN w:val="0"/>
              <w:adjustRightInd w:val="0"/>
              <w:jc w:val="center"/>
              <w:rPr>
                <w:rFonts w:ascii="楷体" w:hAnsi="楷体" w:eastAsia="楷体" w:cs="浠垮畫"/>
                <w:b/>
                <w:kern w:val="0"/>
                <w:sz w:val="24"/>
                <w:szCs w:val="24"/>
              </w:rPr>
            </w:pPr>
            <w:r>
              <w:rPr>
                <w:rFonts w:hint="eastAsia" w:ascii="楷体" w:hAnsi="楷体" w:eastAsia="楷体" w:cs="浠垮畫"/>
                <w:b/>
                <w:kern w:val="0"/>
                <w:sz w:val="24"/>
                <w:szCs w:val="24"/>
              </w:rPr>
              <w:t>稳健发展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2143" w:type="dxa"/>
            <w:shd w:val="clear" w:color="FFFFFF" w:fill="FFFFFF"/>
            <w:noWrap w:val="0"/>
            <w:vAlign w:val="bottom"/>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w:t>
            </w:r>
          </w:p>
        </w:tc>
        <w:tc>
          <w:tcPr>
            <w:tcW w:w="1842" w:type="dxa"/>
            <w:shd w:val="clear" w:color="FFFFFF" w:fill="FFFFFF"/>
            <w:noWrap w:val="0"/>
            <w:vAlign w:val="center"/>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三级（PR3）</w:t>
            </w:r>
          </w:p>
        </w:tc>
        <w:tc>
          <w:tcPr>
            <w:tcW w:w="2268" w:type="dxa"/>
            <w:shd w:val="clear" w:color="FFFFFF" w:fill="FFFFFF"/>
            <w:noWrap w:val="0"/>
            <w:vAlign w:val="center"/>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中风险型</w:t>
            </w:r>
          </w:p>
        </w:tc>
        <w:tc>
          <w:tcPr>
            <w:tcW w:w="2084" w:type="dxa"/>
            <w:shd w:val="clear" w:color="FFFFFF" w:fill="FFFFFF"/>
            <w:noWrap w:val="0"/>
            <w:vAlign w:val="center"/>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均衡发展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2143" w:type="dxa"/>
            <w:noWrap w:val="0"/>
            <w:vAlign w:val="bottom"/>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w:t>
            </w:r>
          </w:p>
        </w:tc>
        <w:tc>
          <w:tcPr>
            <w:tcW w:w="1842" w:type="dxa"/>
            <w:noWrap w:val="0"/>
            <w:vAlign w:val="center"/>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四级（PR4）</w:t>
            </w:r>
          </w:p>
        </w:tc>
        <w:tc>
          <w:tcPr>
            <w:tcW w:w="2268" w:type="dxa"/>
            <w:noWrap w:val="0"/>
            <w:vAlign w:val="center"/>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中高风险型</w:t>
            </w:r>
          </w:p>
        </w:tc>
        <w:tc>
          <w:tcPr>
            <w:tcW w:w="2084" w:type="dxa"/>
            <w:noWrap w:val="0"/>
            <w:vAlign w:val="center"/>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积极成长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2143" w:type="dxa"/>
            <w:noWrap w:val="0"/>
            <w:vAlign w:val="bottom"/>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w:t>
            </w:r>
          </w:p>
        </w:tc>
        <w:tc>
          <w:tcPr>
            <w:tcW w:w="1842" w:type="dxa"/>
            <w:noWrap w:val="0"/>
            <w:vAlign w:val="center"/>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五级（PR5）</w:t>
            </w:r>
          </w:p>
        </w:tc>
        <w:tc>
          <w:tcPr>
            <w:tcW w:w="2268" w:type="dxa"/>
            <w:noWrap w:val="0"/>
            <w:vAlign w:val="center"/>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高风险型</w:t>
            </w:r>
          </w:p>
        </w:tc>
        <w:tc>
          <w:tcPr>
            <w:tcW w:w="2084" w:type="dxa"/>
            <w:noWrap w:val="0"/>
            <w:vAlign w:val="center"/>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风险承受</w:t>
            </w:r>
          </w:p>
        </w:tc>
      </w:tr>
    </w:tbl>
    <w:p>
      <w:pPr>
        <w:numPr>
          <w:ilvl w:val="0"/>
          <w:numId w:val="14"/>
        </w:numPr>
        <w:tabs>
          <w:tab w:val="left" w:pos="1134"/>
        </w:tabs>
        <w:ind w:firstLine="562" w:firstLineChars="200"/>
        <w:rPr>
          <w:rFonts w:hint="eastAsia" w:ascii="楷体" w:hAnsi="楷体" w:eastAsia="楷体"/>
          <w:b/>
          <w:sz w:val="28"/>
          <w:szCs w:val="28"/>
        </w:rPr>
      </w:pPr>
      <w:r>
        <w:rPr>
          <w:rFonts w:hint="eastAsia" w:ascii="楷体" w:hAnsi="楷体" w:eastAsia="楷体"/>
          <w:b/>
          <w:sz w:val="28"/>
          <w:szCs w:val="28"/>
        </w:rPr>
        <w:t>投资管理</w:t>
      </w:r>
    </w:p>
    <w:p>
      <w:pPr>
        <w:numPr>
          <w:ilvl w:val="0"/>
          <w:numId w:val="22"/>
        </w:numPr>
        <w:tabs>
          <w:tab w:val="left" w:pos="993"/>
        </w:tabs>
        <w:ind w:left="0" w:firstLine="482" w:firstLineChars="200"/>
        <w:rPr>
          <w:rFonts w:ascii="楷体" w:hAnsi="楷体" w:eastAsia="楷体" w:cs="Calibri"/>
          <w:b/>
          <w:bCs/>
          <w:sz w:val="24"/>
          <w:szCs w:val="24"/>
        </w:rPr>
      </w:pPr>
      <w:r>
        <w:rPr>
          <w:rFonts w:hint="eastAsia" w:ascii="楷体" w:hAnsi="楷体" w:eastAsia="楷体" w:cs="Calibri"/>
          <w:b/>
          <w:bCs/>
          <w:sz w:val="24"/>
          <w:szCs w:val="24"/>
        </w:rPr>
        <w:t>投资范围和比例</w:t>
      </w:r>
    </w:p>
    <w:p>
      <w:pPr>
        <w:ind w:firstLine="480" w:firstLineChars="200"/>
        <w:rPr>
          <w:rFonts w:ascii="楷体" w:hAnsi="楷体" w:eastAsia="楷体"/>
          <w:sz w:val="24"/>
          <w:szCs w:val="24"/>
        </w:rPr>
      </w:pPr>
      <w:r>
        <w:rPr>
          <w:rFonts w:hint="eastAsia" w:ascii="楷体" w:hAnsi="楷体" w:eastAsia="楷体"/>
          <w:sz w:val="24"/>
          <w:szCs w:val="24"/>
        </w:rPr>
        <w:t>投资范围和投资比例：本理财产品直接或间接投资于现金、银行存款、债券回购、中央银行票据、同业存单、拆借、货币市场基金、债券、在银行间市场和证券交易所市场发行的资产支持证券和监管机构允许投资的其他资产。具体</w:t>
      </w:r>
      <w:r>
        <w:rPr>
          <w:rFonts w:ascii="楷体" w:hAnsi="楷体" w:eastAsia="楷体"/>
          <w:sz w:val="24"/>
          <w:szCs w:val="24"/>
        </w:rPr>
        <w:t>投资比例为：</w:t>
      </w:r>
      <w:r>
        <w:rPr>
          <w:rFonts w:hint="eastAsia" w:ascii="楷体" w:hAnsi="楷体" w:eastAsia="楷体"/>
          <w:sz w:val="24"/>
          <w:szCs w:val="24"/>
        </w:rPr>
        <w:t>固定收益类资产占产品资产总值比例不低于80%，其他符合监管要求的资产占产品资产总值比例不高于20%。其中现金或者到期日在一年以内的国债、中央银行票据和政策性金融债券不低于产品净资产的5%。</w:t>
      </w:r>
    </w:p>
    <w:p>
      <w:pPr>
        <w:ind w:firstLine="480" w:firstLineChars="200"/>
        <w:rPr>
          <w:rFonts w:hint="eastAsia" w:ascii="楷体" w:hAnsi="楷体" w:eastAsia="楷体"/>
          <w:sz w:val="24"/>
          <w:szCs w:val="24"/>
        </w:rPr>
      </w:pPr>
      <w:r>
        <w:rPr>
          <w:rFonts w:hint="eastAsia" w:ascii="楷体" w:hAnsi="楷体" w:eastAsia="楷体"/>
          <w:sz w:val="24"/>
          <w:szCs w:val="24"/>
        </w:rPr>
        <w:t>相关法律法规和监管部门对以上投资范围和配置比例有另行规定的，按照监管最新规定执行。非因管理人主观因素导致突破前述比例限制的，管理人将在流动性受限资产可出售、可转让或者恢复交易的15个交易日内调整至符合相关要求。</w:t>
      </w:r>
    </w:p>
    <w:p>
      <w:pPr>
        <w:numPr>
          <w:ilvl w:val="0"/>
          <w:numId w:val="22"/>
        </w:numPr>
        <w:tabs>
          <w:tab w:val="left" w:pos="993"/>
        </w:tabs>
        <w:ind w:left="0" w:firstLine="482" w:firstLineChars="200"/>
        <w:rPr>
          <w:rFonts w:ascii="楷体" w:hAnsi="楷体" w:eastAsia="楷体" w:cs="Calibri"/>
          <w:b/>
          <w:bCs/>
          <w:sz w:val="24"/>
          <w:szCs w:val="24"/>
        </w:rPr>
      </w:pPr>
      <w:r>
        <w:rPr>
          <w:rFonts w:hint="eastAsia" w:ascii="楷体" w:hAnsi="楷体" w:eastAsia="楷体" w:cs="Calibri"/>
          <w:b/>
          <w:bCs/>
          <w:sz w:val="24"/>
          <w:szCs w:val="24"/>
        </w:rPr>
        <w:t>投资集中度限制</w:t>
      </w:r>
    </w:p>
    <w:p>
      <w:pPr>
        <w:numPr>
          <w:ilvl w:val="0"/>
          <w:numId w:val="0"/>
        </w:numPr>
        <w:tabs>
          <w:tab w:val="left" w:pos="728"/>
        </w:tabs>
        <w:ind w:firstLine="480" w:firstLineChars="200"/>
        <w:rPr>
          <w:rFonts w:hint="eastAsia" w:ascii="楷体" w:hAnsi="楷体" w:eastAsia="楷体" w:cs="Calibri"/>
          <w:sz w:val="24"/>
          <w:szCs w:val="24"/>
        </w:rPr>
      </w:pPr>
      <w:r>
        <w:rPr>
          <w:rFonts w:hint="eastAsia" w:ascii="楷体" w:hAnsi="楷体" w:eastAsia="楷体" w:cs="Calibri"/>
          <w:sz w:val="24"/>
          <w:szCs w:val="24"/>
          <w:lang w:val="en-US" w:eastAsia="zh-CN"/>
        </w:rPr>
        <w:t>1.</w:t>
      </w:r>
      <w:r>
        <w:rPr>
          <w:rFonts w:hint="eastAsia" w:ascii="楷体" w:hAnsi="楷体" w:eastAsia="楷体" w:cs="Calibri"/>
          <w:sz w:val="24"/>
          <w:szCs w:val="24"/>
        </w:rPr>
        <w:t>本产品持有单只证券或者单只公募证券投资基金的市值不得超过产品净</w:t>
      </w:r>
    </w:p>
    <w:p>
      <w:pPr>
        <w:tabs>
          <w:tab w:val="left" w:pos="728"/>
        </w:tabs>
        <w:rPr>
          <w:rFonts w:ascii="楷体" w:hAnsi="楷体" w:eastAsia="楷体" w:cs="Calibri"/>
          <w:sz w:val="24"/>
          <w:szCs w:val="24"/>
        </w:rPr>
      </w:pPr>
      <w:r>
        <w:rPr>
          <w:rFonts w:hint="eastAsia" w:ascii="楷体" w:hAnsi="楷体" w:eastAsia="楷体" w:cs="Calibri"/>
          <w:sz w:val="24"/>
          <w:szCs w:val="24"/>
        </w:rPr>
        <w:t>资产的</w:t>
      </w:r>
      <w:r>
        <w:rPr>
          <w:rFonts w:ascii="楷体" w:hAnsi="楷体" w:eastAsia="楷体" w:cs="Calibri"/>
          <w:sz w:val="24"/>
          <w:szCs w:val="24"/>
        </w:rPr>
        <w:t>10%</w:t>
      </w:r>
      <w:r>
        <w:rPr>
          <w:rFonts w:hint="eastAsia" w:ascii="楷体" w:hAnsi="楷体" w:eastAsia="楷体" w:cs="Calibri"/>
          <w:sz w:val="24"/>
          <w:szCs w:val="24"/>
        </w:rPr>
        <w:t>。</w:t>
      </w:r>
    </w:p>
    <w:p>
      <w:pPr>
        <w:tabs>
          <w:tab w:val="left" w:pos="728"/>
        </w:tabs>
        <w:ind w:firstLine="480" w:firstLineChars="200"/>
        <w:rPr>
          <w:rFonts w:ascii="楷体" w:hAnsi="楷体" w:eastAsia="楷体" w:cs="Calibri"/>
          <w:sz w:val="24"/>
          <w:szCs w:val="24"/>
        </w:rPr>
      </w:pPr>
      <w:r>
        <w:rPr>
          <w:rFonts w:hint="eastAsia" w:ascii="楷体" w:hAnsi="楷体" w:eastAsia="楷体" w:cs="Calibri"/>
          <w:sz w:val="24"/>
          <w:szCs w:val="24"/>
        </w:rPr>
        <w:t>2.管理人全部公募产品持有单只证券或单只公募证券投资基金的市值，不得超过该证券市值或该公募证券投资基金市值的</w:t>
      </w:r>
      <w:r>
        <w:rPr>
          <w:rFonts w:ascii="楷体" w:hAnsi="楷体" w:eastAsia="楷体" w:cs="Calibri"/>
          <w:sz w:val="24"/>
          <w:szCs w:val="24"/>
        </w:rPr>
        <w:t>30%</w:t>
      </w:r>
      <w:r>
        <w:rPr>
          <w:rFonts w:hint="eastAsia" w:ascii="楷体" w:hAnsi="楷体" w:eastAsia="楷体" w:cs="Calibri"/>
          <w:sz w:val="24"/>
          <w:szCs w:val="24"/>
        </w:rPr>
        <w:t>。</w:t>
      </w:r>
    </w:p>
    <w:p>
      <w:pPr>
        <w:tabs>
          <w:tab w:val="left" w:pos="728"/>
        </w:tabs>
        <w:ind w:firstLine="480" w:firstLineChars="200"/>
        <w:rPr>
          <w:rFonts w:hint="eastAsia" w:ascii="楷体" w:hAnsi="楷体" w:eastAsia="楷体" w:cs="Calibri"/>
          <w:sz w:val="24"/>
          <w:szCs w:val="24"/>
        </w:rPr>
      </w:pPr>
      <w:r>
        <w:rPr>
          <w:rFonts w:hint="eastAsia" w:ascii="楷体" w:hAnsi="楷体" w:eastAsia="楷体" w:cs="Calibri"/>
          <w:sz w:val="24"/>
          <w:szCs w:val="24"/>
        </w:rPr>
        <w:t>3.管理人全部产品持有单一上市公司发行的股票，不得超过该上市公司可流通股票的</w:t>
      </w:r>
      <w:r>
        <w:rPr>
          <w:rFonts w:ascii="楷体" w:hAnsi="楷体" w:eastAsia="楷体" w:cs="Calibri"/>
          <w:sz w:val="24"/>
          <w:szCs w:val="24"/>
        </w:rPr>
        <w:t>30%</w:t>
      </w:r>
      <w:r>
        <w:rPr>
          <w:rFonts w:hint="eastAsia" w:ascii="楷体" w:hAnsi="楷体" w:eastAsia="楷体" w:cs="Calibri"/>
          <w:sz w:val="24"/>
          <w:szCs w:val="24"/>
        </w:rPr>
        <w:t>。</w:t>
      </w:r>
    </w:p>
    <w:p>
      <w:pPr>
        <w:ind w:firstLine="480" w:firstLineChars="200"/>
        <w:rPr>
          <w:rFonts w:hint="eastAsia" w:ascii="楷体" w:hAnsi="楷体" w:eastAsia="楷体"/>
          <w:sz w:val="24"/>
          <w:szCs w:val="24"/>
        </w:rPr>
      </w:pPr>
      <w:r>
        <w:rPr>
          <w:rFonts w:hint="eastAsia" w:ascii="楷体" w:hAnsi="楷体" w:eastAsia="楷体"/>
          <w:sz w:val="24"/>
          <w:szCs w:val="24"/>
        </w:rPr>
        <w:t>金融监督管理部门另有规定的除外。</w:t>
      </w:r>
    </w:p>
    <w:p>
      <w:pPr>
        <w:ind w:firstLine="480" w:firstLineChars="200"/>
        <w:rPr>
          <w:rFonts w:hint="eastAsia" w:ascii="楷体" w:hAnsi="楷体" w:eastAsia="楷体"/>
          <w:sz w:val="24"/>
          <w:szCs w:val="24"/>
        </w:rPr>
      </w:pPr>
      <w:r>
        <w:rPr>
          <w:rFonts w:hint="eastAsia" w:ascii="楷体" w:hAnsi="楷体" w:eastAsia="楷体"/>
          <w:sz w:val="24"/>
          <w:szCs w:val="24"/>
        </w:rPr>
        <w:t>非因管理人主观因素导致突破上述比例限制的，产品管理人在流动性受限资产可出售、可转让或者恢复交易的</w:t>
      </w:r>
      <w:r>
        <w:rPr>
          <w:rFonts w:ascii="楷体" w:hAnsi="楷体" w:eastAsia="楷体"/>
          <w:sz w:val="24"/>
          <w:szCs w:val="24"/>
        </w:rPr>
        <w:t>1</w:t>
      </w:r>
      <w:r>
        <w:rPr>
          <w:rFonts w:hint="eastAsia" w:ascii="楷体" w:hAnsi="楷体" w:eastAsia="楷体"/>
          <w:sz w:val="24"/>
          <w:szCs w:val="24"/>
        </w:rPr>
        <w:t>0个交易日内调整至符合要求。</w:t>
      </w:r>
    </w:p>
    <w:p>
      <w:pPr>
        <w:numPr>
          <w:ilvl w:val="0"/>
          <w:numId w:val="22"/>
        </w:numPr>
        <w:tabs>
          <w:tab w:val="left" w:pos="993"/>
        </w:tabs>
        <w:ind w:left="0" w:firstLine="482" w:firstLineChars="200"/>
        <w:rPr>
          <w:rFonts w:hint="eastAsia" w:ascii="楷体" w:hAnsi="楷体" w:eastAsia="楷体" w:cs="Calibri"/>
          <w:b/>
          <w:bCs/>
          <w:sz w:val="24"/>
          <w:szCs w:val="24"/>
        </w:rPr>
      </w:pPr>
      <w:r>
        <w:rPr>
          <w:rFonts w:hint="eastAsia" w:ascii="楷体" w:hAnsi="楷体" w:eastAsia="楷体" w:cs="Calibri"/>
          <w:b/>
          <w:bCs/>
          <w:sz w:val="24"/>
          <w:szCs w:val="24"/>
        </w:rPr>
        <w:t>杠杆水平限制</w:t>
      </w:r>
    </w:p>
    <w:p>
      <w:pPr>
        <w:ind w:firstLine="480" w:firstLineChars="200"/>
        <w:rPr>
          <w:rFonts w:hint="eastAsia" w:ascii="楷体" w:hAnsi="楷体" w:eastAsia="楷体"/>
          <w:sz w:val="24"/>
          <w:szCs w:val="24"/>
        </w:rPr>
      </w:pPr>
      <w:r>
        <w:rPr>
          <w:rFonts w:hint="eastAsia" w:ascii="楷体" w:hAnsi="楷体" w:eastAsia="楷体"/>
          <w:sz w:val="24"/>
          <w:szCs w:val="24"/>
        </w:rPr>
        <w:t>本理财产品资产总值/理财产品资产净值不超过</w:t>
      </w:r>
      <w:r>
        <w:rPr>
          <w:rFonts w:hint="eastAsia" w:ascii="楷体" w:hAnsi="楷体" w:eastAsia="楷体"/>
          <w:sz w:val="24"/>
          <w:szCs w:val="24"/>
          <w:lang w:val="en-US" w:eastAsia="zh-CN"/>
        </w:rPr>
        <w:t>140</w:t>
      </w:r>
      <w:r>
        <w:rPr>
          <w:rFonts w:hint="eastAsia" w:ascii="楷体" w:hAnsi="楷体" w:eastAsia="楷体"/>
          <w:sz w:val="24"/>
          <w:szCs w:val="24"/>
        </w:rPr>
        <w:t>%（如监管有最新规定的参照监管规定调整）。</w:t>
      </w:r>
    </w:p>
    <w:p>
      <w:pPr>
        <w:numPr>
          <w:ilvl w:val="0"/>
          <w:numId w:val="22"/>
        </w:numPr>
        <w:tabs>
          <w:tab w:val="left" w:pos="993"/>
        </w:tabs>
        <w:ind w:left="0" w:firstLine="482" w:firstLineChars="200"/>
        <w:rPr>
          <w:rFonts w:ascii="楷体" w:hAnsi="楷体" w:eastAsia="楷体" w:cs="Calibri"/>
          <w:b/>
          <w:bCs/>
          <w:sz w:val="24"/>
          <w:szCs w:val="24"/>
        </w:rPr>
      </w:pPr>
      <w:r>
        <w:rPr>
          <w:rFonts w:hint="eastAsia" w:ascii="楷体" w:hAnsi="楷体" w:eastAsia="楷体" w:cs="Calibri"/>
          <w:b/>
          <w:bCs/>
          <w:sz w:val="24"/>
          <w:szCs w:val="24"/>
        </w:rPr>
        <w:t>投资范围调整</w:t>
      </w:r>
    </w:p>
    <w:p>
      <w:pPr>
        <w:ind w:firstLine="480" w:firstLineChars="200"/>
        <w:rPr>
          <w:rFonts w:ascii="楷体" w:hAnsi="楷体" w:eastAsia="楷体"/>
          <w:sz w:val="24"/>
          <w:szCs w:val="24"/>
        </w:rPr>
      </w:pPr>
      <w:r>
        <w:rPr>
          <w:rFonts w:hint="eastAsia" w:ascii="楷体" w:hAnsi="楷体" w:eastAsia="楷体"/>
          <w:sz w:val="24"/>
          <w:szCs w:val="24"/>
        </w:rPr>
        <w:t>若法律法规、国家监管政策或市场情况发生变化，苏银理财在不改变产品类型的情况下，可对本说明书中已约定的投资范围、投资品种、投资比例以及收费项目、条件、标准和方式进行调整。产品管理人将于调整事项生效前2个工作日通过短信及苏银理财有限责任公司官方网站（www.suyinwealth.com）、销售机构电子渠道和营业网点等方式进行信息披露。此种情况下产品管理人可能开放赎回，具体以届时产品管理人公告为准。若本理财产品的投资者不接受上述调整，可及时通过销售机构赎回本产品（高风险类型的理财产品超出比例范围投资较低风险资产的情况除外）；若本理财产品投资者未在约定的时间内赎回本产品，则视为本理财产品投资者接受相关调整且同意继续持有本理财产品。</w:t>
      </w:r>
    </w:p>
    <w:p>
      <w:pPr>
        <w:numPr>
          <w:ilvl w:val="0"/>
          <w:numId w:val="14"/>
        </w:numPr>
        <w:tabs>
          <w:tab w:val="left" w:pos="1134"/>
        </w:tabs>
        <w:ind w:firstLine="562" w:firstLineChars="200"/>
        <w:outlineLvl w:val="1"/>
        <w:rPr>
          <w:rFonts w:ascii="楷体" w:hAnsi="楷体" w:eastAsia="楷体"/>
          <w:b/>
          <w:sz w:val="28"/>
          <w:szCs w:val="28"/>
        </w:rPr>
      </w:pPr>
      <w:r>
        <w:rPr>
          <w:rFonts w:hint="eastAsia" w:ascii="楷体" w:hAnsi="楷体" w:eastAsia="楷体"/>
          <w:b/>
          <w:sz w:val="28"/>
          <w:szCs w:val="28"/>
        </w:rPr>
        <w:t>产品认购</w:t>
      </w:r>
    </w:p>
    <w:p>
      <w:pPr>
        <w:numPr>
          <w:ilvl w:val="0"/>
          <w:numId w:val="23"/>
        </w:numPr>
        <w:tabs>
          <w:tab w:val="left" w:pos="993"/>
        </w:tabs>
        <w:ind w:left="0" w:firstLine="480" w:firstLineChars="200"/>
        <w:rPr>
          <w:rFonts w:hint="eastAsia" w:ascii="楷体" w:hAnsi="楷体" w:eastAsia="楷体" w:cs="Calibri"/>
          <w:sz w:val="24"/>
          <w:szCs w:val="24"/>
          <w:lang w:eastAsia="zh-CN"/>
        </w:rPr>
      </w:pPr>
      <w:r>
        <w:rPr>
          <w:rFonts w:hint="eastAsia" w:ascii="楷体" w:hAnsi="楷体" w:eastAsia="楷体" w:cs="Calibri"/>
          <w:sz w:val="24"/>
          <w:szCs w:val="24"/>
        </w:rPr>
        <w:t>认购期间：2018年8月29日9:00到2018年9月3日17:00</w:t>
      </w:r>
      <w:r>
        <w:rPr>
          <w:rFonts w:hint="eastAsia" w:ascii="楷体" w:hAnsi="楷体" w:eastAsia="楷体" w:cs="Calibri"/>
          <w:sz w:val="24"/>
          <w:szCs w:val="24"/>
          <w:lang w:eastAsia="zh-CN"/>
        </w:rPr>
        <w:t>。</w:t>
      </w:r>
      <w:r>
        <w:rPr>
          <w:rFonts w:hint="eastAsia" w:ascii="楷体" w:hAnsi="楷体" w:eastAsia="楷体"/>
          <w:sz w:val="24"/>
          <w:szCs w:val="24"/>
        </w:rPr>
        <w:t>（以各销售机构设置的认购时间为准）</w:t>
      </w:r>
    </w:p>
    <w:p>
      <w:pPr>
        <w:numPr>
          <w:ilvl w:val="0"/>
          <w:numId w:val="23"/>
        </w:numPr>
        <w:tabs>
          <w:tab w:val="left" w:pos="993"/>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认购方式：本理财产品可在各销售机构指定渠道进行认购。</w:t>
      </w:r>
    </w:p>
    <w:p>
      <w:pPr>
        <w:numPr>
          <w:ilvl w:val="0"/>
          <w:numId w:val="23"/>
        </w:numPr>
        <w:tabs>
          <w:tab w:val="left" w:pos="993"/>
        </w:tabs>
        <w:ind w:left="0" w:firstLine="480" w:firstLineChars="200"/>
        <w:rPr>
          <w:rFonts w:hint="eastAsia" w:ascii="楷体" w:hAnsi="楷体" w:eastAsia="楷体" w:cs="Calibri"/>
          <w:sz w:val="24"/>
          <w:szCs w:val="24"/>
        </w:rPr>
      </w:pPr>
      <w:r>
        <w:rPr>
          <w:rFonts w:hint="eastAsia" w:ascii="楷体" w:hAnsi="楷体" w:eastAsia="楷体" w:cs="Calibri"/>
          <w:sz w:val="24"/>
          <w:szCs w:val="24"/>
          <w:lang w:val="en-US" w:eastAsia="zh-CN"/>
        </w:rPr>
        <w:t>销售机构受理认购申请并不代表该申请成功确认，仅代表其收到了认购申请，申请是否成功以管理人最终确认为准。具体而言，投资者按规定提交认购申请、全额交付款项并经销售机构成功冻结或预扣的，认购申请成立，管理人在认购份额登记日对投资者的认购申请成功登记后，视为投资者的认购申请生效。投资者应在理财产品成立后及时查询最终的成交情况以及认购的份额。</w:t>
      </w:r>
    </w:p>
    <w:p>
      <w:pPr>
        <w:numPr>
          <w:ilvl w:val="0"/>
          <w:numId w:val="23"/>
        </w:numPr>
        <w:tabs>
          <w:tab w:val="left" w:pos="993"/>
        </w:tabs>
        <w:ind w:left="0" w:firstLine="480" w:firstLineChars="200"/>
        <w:rPr>
          <w:rFonts w:ascii="楷体" w:hAnsi="楷体" w:eastAsia="楷体" w:cs="Calibri"/>
          <w:sz w:val="24"/>
          <w:szCs w:val="24"/>
        </w:rPr>
      </w:pPr>
      <w:r>
        <w:rPr>
          <w:rFonts w:hint="eastAsia" w:ascii="楷体" w:hAnsi="楷体" w:eastAsia="楷体" w:cs="Calibri"/>
          <w:sz w:val="24"/>
          <w:szCs w:val="24"/>
        </w:rPr>
        <w:t>本理财产品采取金额认购，投资者单笔认申购起点金额及追加金额如下表：</w:t>
      </w:r>
    </w:p>
    <w:tbl>
      <w:tblPr>
        <w:tblStyle w:val="15"/>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98"/>
        <w:gridCol w:w="1701"/>
        <w:gridCol w:w="1745"/>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8" w:type="dxa"/>
            <w:noWrap w:val="0"/>
            <w:vAlign w:val="center"/>
          </w:tcPr>
          <w:p>
            <w:pPr>
              <w:tabs>
                <w:tab w:val="left" w:pos="993"/>
              </w:tabs>
              <w:jc w:val="center"/>
              <w:rPr>
                <w:rFonts w:hint="eastAsia" w:ascii="楷体" w:hAnsi="楷体" w:eastAsia="楷体" w:cs="Calibri"/>
                <w:szCs w:val="21"/>
              </w:rPr>
            </w:pPr>
            <w:r>
              <w:rPr>
                <w:rFonts w:hint="eastAsia" w:ascii="楷体" w:hAnsi="楷体" w:eastAsia="楷体" w:cs="Calibri"/>
                <w:szCs w:val="21"/>
              </w:rPr>
              <w:t>销售简称</w:t>
            </w:r>
          </w:p>
        </w:tc>
        <w:tc>
          <w:tcPr>
            <w:tcW w:w="1701" w:type="dxa"/>
            <w:noWrap w:val="0"/>
            <w:vAlign w:val="center"/>
          </w:tcPr>
          <w:p>
            <w:pPr>
              <w:tabs>
                <w:tab w:val="left" w:pos="993"/>
              </w:tabs>
              <w:jc w:val="center"/>
              <w:rPr>
                <w:rFonts w:hint="eastAsia" w:ascii="楷体" w:hAnsi="楷体" w:eastAsia="楷体" w:cs="Calibri"/>
                <w:szCs w:val="21"/>
              </w:rPr>
            </w:pPr>
            <w:r>
              <w:rPr>
                <w:rFonts w:hint="eastAsia" w:ascii="楷体" w:hAnsi="楷体" w:eastAsia="楷体" w:cs="Calibri"/>
                <w:szCs w:val="21"/>
              </w:rPr>
              <w:t>销售代码</w:t>
            </w:r>
          </w:p>
        </w:tc>
        <w:tc>
          <w:tcPr>
            <w:tcW w:w="1745" w:type="dxa"/>
            <w:noWrap w:val="0"/>
            <w:vAlign w:val="center"/>
          </w:tcPr>
          <w:p>
            <w:pPr>
              <w:tabs>
                <w:tab w:val="left" w:pos="993"/>
              </w:tabs>
              <w:jc w:val="center"/>
              <w:rPr>
                <w:rFonts w:ascii="楷体" w:hAnsi="楷体" w:eastAsia="楷体" w:cs="Calibri"/>
                <w:szCs w:val="21"/>
              </w:rPr>
            </w:pPr>
            <w:r>
              <w:rPr>
                <w:rFonts w:hint="eastAsia" w:ascii="楷体" w:hAnsi="楷体" w:eastAsia="楷体" w:cs="Calibri"/>
                <w:szCs w:val="21"/>
              </w:rPr>
              <w:t>认申购</w:t>
            </w:r>
          </w:p>
          <w:p>
            <w:pPr>
              <w:tabs>
                <w:tab w:val="left" w:pos="993"/>
              </w:tabs>
              <w:jc w:val="center"/>
              <w:rPr>
                <w:rFonts w:hint="eastAsia" w:ascii="楷体" w:hAnsi="楷体" w:eastAsia="楷体" w:cs="Calibri"/>
                <w:szCs w:val="21"/>
              </w:rPr>
            </w:pPr>
            <w:r>
              <w:rPr>
                <w:rFonts w:hint="eastAsia" w:ascii="楷体" w:hAnsi="楷体" w:eastAsia="楷体" w:cs="Calibri"/>
                <w:szCs w:val="21"/>
              </w:rPr>
              <w:t>起点金额</w:t>
            </w:r>
          </w:p>
        </w:tc>
        <w:tc>
          <w:tcPr>
            <w:tcW w:w="1988" w:type="dxa"/>
            <w:noWrap w:val="0"/>
            <w:vAlign w:val="center"/>
          </w:tcPr>
          <w:p>
            <w:pPr>
              <w:tabs>
                <w:tab w:val="left" w:pos="993"/>
              </w:tabs>
              <w:jc w:val="center"/>
              <w:rPr>
                <w:rFonts w:hint="eastAsia" w:ascii="楷体" w:hAnsi="楷体" w:eastAsia="楷体" w:cs="Calibri"/>
                <w:szCs w:val="21"/>
              </w:rPr>
            </w:pPr>
            <w:r>
              <w:rPr>
                <w:rFonts w:hint="eastAsia" w:ascii="楷体" w:hAnsi="楷体" w:eastAsia="楷体" w:cs="Calibri"/>
                <w:szCs w:val="21"/>
              </w:rPr>
              <w:t>追加金额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8" w:type="dxa"/>
            <w:noWrap w:val="0"/>
            <w:vAlign w:val="center"/>
          </w:tcPr>
          <w:p>
            <w:pPr>
              <w:jc w:val="center"/>
              <w:rPr>
                <w:rFonts w:hint="eastAsia" w:ascii="楷体" w:hAnsi="楷体" w:eastAsia="楷体" w:cs="宋体"/>
                <w:spacing w:val="-2"/>
                <w:sz w:val="21"/>
                <w:szCs w:val="21"/>
                <w:lang w:eastAsia="zh-CN"/>
              </w:rPr>
            </w:pPr>
            <w:r>
              <w:rPr>
                <w:rFonts w:hint="eastAsia" w:ascii="楷体" w:hAnsi="楷体" w:eastAsia="楷体" w:cs="宋体"/>
                <w:spacing w:val="-2"/>
                <w:sz w:val="21"/>
                <w:szCs w:val="21"/>
              </w:rPr>
              <w:t>苏银理财</w:t>
            </w:r>
            <w:r>
              <w:rPr>
                <w:rFonts w:hint="eastAsia" w:ascii="楷体" w:hAnsi="楷体" w:eastAsia="楷体" w:cs="宋体"/>
                <w:spacing w:val="-2"/>
                <w:sz w:val="21"/>
                <w:szCs w:val="21"/>
                <w:lang w:val="en-US" w:eastAsia="zh-CN"/>
              </w:rPr>
              <w:t>恒源</w:t>
            </w:r>
            <w:r>
              <w:rPr>
                <w:rFonts w:hint="eastAsia" w:ascii="楷体" w:hAnsi="楷体" w:eastAsia="楷体" w:cs="宋体"/>
                <w:spacing w:val="-2"/>
                <w:sz w:val="21"/>
                <w:szCs w:val="21"/>
              </w:rPr>
              <w:t>融达1号6月</w:t>
            </w:r>
            <w:r>
              <w:rPr>
                <w:rFonts w:hint="eastAsia" w:ascii="楷体" w:hAnsi="楷体" w:eastAsia="楷体" w:cs="宋体"/>
                <w:spacing w:val="-2"/>
                <w:sz w:val="21"/>
                <w:szCs w:val="21"/>
                <w:lang w:eastAsia="zh-CN"/>
              </w:rPr>
              <w:t>（</w:t>
            </w:r>
            <w:r>
              <w:rPr>
                <w:rFonts w:hint="eastAsia" w:ascii="楷体" w:hAnsi="楷体" w:eastAsia="楷体" w:cs="宋体"/>
                <w:spacing w:val="-2"/>
                <w:sz w:val="21"/>
                <w:szCs w:val="21"/>
              </w:rPr>
              <w:t>芙蓉锦程·优选</w:t>
            </w:r>
            <w:r>
              <w:rPr>
                <w:rFonts w:hint="eastAsia" w:ascii="楷体" w:hAnsi="楷体" w:eastAsia="楷体" w:cs="宋体"/>
                <w:spacing w:val="-2"/>
                <w:sz w:val="21"/>
                <w:szCs w:val="21"/>
                <w:lang w:eastAsia="zh-CN"/>
              </w:rPr>
              <w:t>）</w:t>
            </w:r>
          </w:p>
        </w:tc>
        <w:tc>
          <w:tcPr>
            <w:tcW w:w="1701" w:type="dxa"/>
            <w:noWrap w:val="0"/>
            <w:vAlign w:val="center"/>
          </w:tcPr>
          <w:p>
            <w:pPr>
              <w:tabs>
                <w:tab w:val="left" w:pos="993"/>
              </w:tabs>
              <w:jc w:val="center"/>
              <w:rPr>
                <w:rFonts w:hint="eastAsia" w:ascii="楷体" w:hAnsi="楷体" w:eastAsia="楷体" w:cs="Calibri"/>
                <w:kern w:val="2"/>
                <w:sz w:val="21"/>
                <w:szCs w:val="21"/>
                <w:lang w:val="en-US" w:eastAsia="zh-CN" w:bidi="ar-SA"/>
              </w:rPr>
            </w:pPr>
            <w:r>
              <w:rPr>
                <w:rFonts w:hint="eastAsia" w:ascii="楷体" w:hAnsi="楷体" w:eastAsia="楷体" w:cs="Calibri"/>
                <w:kern w:val="2"/>
                <w:sz w:val="21"/>
                <w:szCs w:val="21"/>
                <w:lang w:val="en-US" w:eastAsia="zh-CN" w:bidi="ar-SA"/>
              </w:rPr>
              <w:t>J03612</w:t>
            </w:r>
          </w:p>
        </w:tc>
        <w:tc>
          <w:tcPr>
            <w:tcW w:w="1745" w:type="dxa"/>
            <w:noWrap w:val="0"/>
            <w:vAlign w:val="center"/>
          </w:tcPr>
          <w:p>
            <w:pPr>
              <w:tabs>
                <w:tab w:val="left" w:pos="993"/>
              </w:tabs>
              <w:jc w:val="center"/>
              <w:rPr>
                <w:rFonts w:hint="eastAsia" w:ascii="楷体" w:hAnsi="楷体" w:eastAsia="楷体" w:cs="Calibri"/>
                <w:kern w:val="2"/>
                <w:sz w:val="21"/>
                <w:szCs w:val="21"/>
                <w:lang w:val="en-US" w:eastAsia="zh-CN" w:bidi="ar-SA"/>
              </w:rPr>
            </w:pPr>
            <w:r>
              <w:rPr>
                <w:rFonts w:hint="eastAsia" w:ascii="楷体" w:hAnsi="楷体" w:eastAsia="楷体" w:cs="Calibri"/>
                <w:szCs w:val="21"/>
              </w:rPr>
              <w:t>1元</w:t>
            </w:r>
          </w:p>
        </w:tc>
        <w:tc>
          <w:tcPr>
            <w:tcW w:w="1988" w:type="dxa"/>
            <w:noWrap w:val="0"/>
            <w:vAlign w:val="center"/>
          </w:tcPr>
          <w:p>
            <w:pPr>
              <w:tabs>
                <w:tab w:val="left" w:pos="993"/>
              </w:tabs>
              <w:jc w:val="center"/>
              <w:rPr>
                <w:rFonts w:hint="eastAsia" w:ascii="楷体" w:hAnsi="楷体" w:eastAsia="楷体" w:cs="Calibri"/>
                <w:kern w:val="2"/>
                <w:sz w:val="21"/>
                <w:szCs w:val="21"/>
                <w:lang w:val="en-US" w:eastAsia="zh-CN" w:bidi="ar-SA"/>
              </w:rPr>
            </w:pPr>
            <w:r>
              <w:rPr>
                <w:rFonts w:hint="eastAsia" w:ascii="楷体" w:hAnsi="楷体" w:eastAsia="楷体" w:cs="宋体"/>
                <w:spacing w:val="-2"/>
                <w:szCs w:val="21"/>
              </w:rPr>
              <w:t>1元的整数倍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8" w:type="dxa"/>
            <w:noWrap w:val="0"/>
            <w:vAlign w:val="center"/>
          </w:tcPr>
          <w:p>
            <w:pPr>
              <w:jc w:val="center"/>
              <w:rPr>
                <w:rFonts w:hint="eastAsia" w:ascii="楷体" w:hAnsi="楷体" w:eastAsia="楷体" w:cs="宋体"/>
                <w:spacing w:val="-2"/>
                <w:sz w:val="21"/>
                <w:szCs w:val="21"/>
              </w:rPr>
            </w:pPr>
            <w:r>
              <w:rPr>
                <w:rFonts w:hint="eastAsia" w:ascii="楷体" w:hAnsi="楷体" w:eastAsia="楷体" w:cs="宋体"/>
                <w:spacing w:val="-2"/>
                <w:sz w:val="21"/>
                <w:szCs w:val="21"/>
              </w:rPr>
              <w:t>苏银理财</w:t>
            </w:r>
            <w:r>
              <w:rPr>
                <w:rFonts w:hint="eastAsia" w:ascii="楷体" w:hAnsi="楷体" w:eastAsia="楷体" w:cs="宋体"/>
                <w:spacing w:val="-2"/>
                <w:sz w:val="21"/>
                <w:szCs w:val="21"/>
                <w:lang w:val="en-US" w:eastAsia="zh-CN"/>
              </w:rPr>
              <w:t>恒源</w:t>
            </w:r>
            <w:r>
              <w:rPr>
                <w:rFonts w:hint="eastAsia" w:ascii="楷体" w:hAnsi="楷体" w:eastAsia="楷体" w:cs="宋体"/>
                <w:spacing w:val="-2"/>
                <w:sz w:val="21"/>
                <w:szCs w:val="21"/>
              </w:rPr>
              <w:t>融达1号6月</w:t>
            </w:r>
            <w:r>
              <w:rPr>
                <w:rFonts w:hint="eastAsia" w:ascii="楷体" w:hAnsi="楷体" w:eastAsia="楷体" w:cs="宋体"/>
                <w:spacing w:val="-2"/>
                <w:sz w:val="21"/>
                <w:szCs w:val="21"/>
                <w:lang w:val="en-US" w:eastAsia="zh-CN"/>
              </w:rPr>
              <w:t>Z</w:t>
            </w:r>
          </w:p>
        </w:tc>
        <w:tc>
          <w:tcPr>
            <w:tcW w:w="1701" w:type="dxa"/>
            <w:noWrap w:val="0"/>
            <w:vAlign w:val="center"/>
          </w:tcPr>
          <w:p>
            <w:pPr>
              <w:tabs>
                <w:tab w:val="left" w:pos="993"/>
              </w:tabs>
              <w:jc w:val="center"/>
              <w:rPr>
                <w:rFonts w:hint="eastAsia" w:ascii="楷体" w:hAnsi="楷体" w:eastAsia="楷体" w:cs="Calibri"/>
                <w:kern w:val="2"/>
                <w:sz w:val="21"/>
                <w:szCs w:val="21"/>
                <w:lang w:val="en-US" w:eastAsia="zh-CN" w:bidi="ar-SA"/>
              </w:rPr>
            </w:pPr>
            <w:r>
              <w:rPr>
                <w:rFonts w:hint="eastAsia" w:ascii="楷体" w:hAnsi="楷体" w:eastAsia="楷体" w:cs="Calibri"/>
                <w:kern w:val="2"/>
                <w:sz w:val="21"/>
                <w:szCs w:val="21"/>
                <w:lang w:val="en-US" w:eastAsia="zh-CN" w:bidi="ar-SA"/>
              </w:rPr>
              <w:t>J03613</w:t>
            </w:r>
          </w:p>
        </w:tc>
        <w:tc>
          <w:tcPr>
            <w:tcW w:w="1745" w:type="dxa"/>
            <w:noWrap w:val="0"/>
            <w:vAlign w:val="center"/>
          </w:tcPr>
          <w:p>
            <w:pPr>
              <w:tabs>
                <w:tab w:val="left" w:pos="993"/>
              </w:tabs>
              <w:jc w:val="center"/>
              <w:rPr>
                <w:rFonts w:hint="eastAsia" w:ascii="楷体" w:hAnsi="楷体" w:eastAsia="楷体" w:cs="Calibri"/>
                <w:szCs w:val="21"/>
              </w:rPr>
            </w:pPr>
            <w:r>
              <w:rPr>
                <w:rFonts w:hint="eastAsia" w:ascii="楷体" w:hAnsi="楷体" w:eastAsia="楷体" w:cs="Calibri"/>
                <w:szCs w:val="21"/>
              </w:rPr>
              <w:t>1元</w:t>
            </w:r>
          </w:p>
        </w:tc>
        <w:tc>
          <w:tcPr>
            <w:tcW w:w="1988" w:type="dxa"/>
            <w:noWrap w:val="0"/>
            <w:vAlign w:val="center"/>
          </w:tcPr>
          <w:p>
            <w:pPr>
              <w:tabs>
                <w:tab w:val="left" w:pos="993"/>
              </w:tabs>
              <w:jc w:val="center"/>
              <w:rPr>
                <w:rFonts w:hint="eastAsia" w:ascii="楷体" w:hAnsi="楷体" w:eastAsia="楷体" w:cs="宋体"/>
                <w:spacing w:val="-2"/>
                <w:szCs w:val="21"/>
              </w:rPr>
            </w:pPr>
            <w:r>
              <w:rPr>
                <w:rFonts w:hint="eastAsia" w:ascii="楷体" w:hAnsi="楷体" w:eastAsia="楷体" w:cs="宋体"/>
                <w:spacing w:val="-2"/>
                <w:szCs w:val="21"/>
              </w:rPr>
              <w:t>1元的整数倍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8" w:type="dxa"/>
            <w:noWrap w:val="0"/>
            <w:vAlign w:val="center"/>
          </w:tcPr>
          <w:p>
            <w:pPr>
              <w:jc w:val="center"/>
              <w:rPr>
                <w:rFonts w:hint="eastAsia" w:ascii="楷体" w:hAnsi="楷体" w:eastAsia="楷体" w:cs="宋体"/>
                <w:spacing w:val="-2"/>
                <w:sz w:val="21"/>
                <w:szCs w:val="21"/>
              </w:rPr>
            </w:pPr>
            <w:r>
              <w:rPr>
                <w:rFonts w:hint="eastAsia" w:ascii="楷体" w:hAnsi="楷体" w:eastAsia="楷体" w:cs="宋体"/>
                <w:spacing w:val="-2"/>
                <w:sz w:val="21"/>
                <w:szCs w:val="21"/>
              </w:rPr>
              <w:t>苏银理财</w:t>
            </w:r>
            <w:r>
              <w:rPr>
                <w:rFonts w:hint="eastAsia" w:ascii="楷体" w:hAnsi="楷体" w:eastAsia="楷体" w:cs="宋体"/>
                <w:spacing w:val="-2"/>
                <w:sz w:val="21"/>
                <w:szCs w:val="21"/>
                <w:lang w:val="en-US" w:eastAsia="zh-CN"/>
              </w:rPr>
              <w:t>恒源</w:t>
            </w:r>
            <w:r>
              <w:rPr>
                <w:rFonts w:hint="eastAsia" w:ascii="楷体" w:hAnsi="楷体" w:eastAsia="楷体" w:cs="宋体"/>
                <w:spacing w:val="-2"/>
                <w:sz w:val="21"/>
                <w:szCs w:val="21"/>
              </w:rPr>
              <w:t>融达1号6月</w:t>
            </w:r>
            <w:r>
              <w:rPr>
                <w:rFonts w:hint="eastAsia" w:ascii="楷体" w:hAnsi="楷体" w:eastAsia="楷体" w:cs="宋体"/>
                <w:spacing w:val="-2"/>
                <w:sz w:val="21"/>
                <w:szCs w:val="21"/>
                <w:lang w:val="en-US" w:eastAsia="zh-CN"/>
              </w:rPr>
              <w:t>Q</w:t>
            </w:r>
          </w:p>
        </w:tc>
        <w:tc>
          <w:tcPr>
            <w:tcW w:w="1701" w:type="dxa"/>
            <w:noWrap w:val="0"/>
            <w:vAlign w:val="center"/>
          </w:tcPr>
          <w:p>
            <w:pPr>
              <w:tabs>
                <w:tab w:val="left" w:pos="993"/>
              </w:tabs>
              <w:jc w:val="center"/>
              <w:rPr>
                <w:rFonts w:hint="eastAsia" w:ascii="楷体" w:hAnsi="楷体" w:eastAsia="楷体" w:cs="Calibri"/>
                <w:kern w:val="2"/>
                <w:sz w:val="21"/>
                <w:szCs w:val="21"/>
                <w:lang w:val="en-US" w:eastAsia="zh-CN" w:bidi="ar-SA"/>
              </w:rPr>
            </w:pPr>
            <w:r>
              <w:rPr>
                <w:rFonts w:hint="eastAsia" w:ascii="楷体" w:hAnsi="楷体" w:eastAsia="楷体" w:cs="Calibri"/>
                <w:kern w:val="2"/>
                <w:sz w:val="21"/>
                <w:szCs w:val="21"/>
                <w:lang w:val="en-US" w:eastAsia="zh-CN" w:bidi="ar-SA"/>
              </w:rPr>
              <w:t>J03614</w:t>
            </w:r>
          </w:p>
        </w:tc>
        <w:tc>
          <w:tcPr>
            <w:tcW w:w="1745" w:type="dxa"/>
            <w:noWrap w:val="0"/>
            <w:vAlign w:val="center"/>
          </w:tcPr>
          <w:p>
            <w:pPr>
              <w:tabs>
                <w:tab w:val="left" w:pos="993"/>
              </w:tabs>
              <w:jc w:val="center"/>
              <w:rPr>
                <w:rFonts w:hint="eastAsia" w:ascii="楷体" w:hAnsi="楷体" w:eastAsia="楷体" w:cs="Calibri"/>
                <w:szCs w:val="21"/>
              </w:rPr>
            </w:pPr>
            <w:r>
              <w:rPr>
                <w:rFonts w:hint="eastAsia" w:ascii="楷体" w:hAnsi="楷体" w:eastAsia="楷体" w:cs="Calibri"/>
                <w:szCs w:val="21"/>
              </w:rPr>
              <w:t>1元</w:t>
            </w:r>
          </w:p>
        </w:tc>
        <w:tc>
          <w:tcPr>
            <w:tcW w:w="1988" w:type="dxa"/>
            <w:noWrap w:val="0"/>
            <w:vAlign w:val="center"/>
          </w:tcPr>
          <w:p>
            <w:pPr>
              <w:tabs>
                <w:tab w:val="left" w:pos="993"/>
              </w:tabs>
              <w:jc w:val="center"/>
              <w:rPr>
                <w:rFonts w:hint="eastAsia" w:ascii="楷体" w:hAnsi="楷体" w:eastAsia="楷体" w:cs="宋体"/>
                <w:spacing w:val="-2"/>
                <w:szCs w:val="21"/>
              </w:rPr>
            </w:pPr>
            <w:r>
              <w:rPr>
                <w:rFonts w:hint="eastAsia" w:ascii="楷体" w:hAnsi="楷体" w:eastAsia="楷体" w:cs="宋体"/>
                <w:spacing w:val="-2"/>
                <w:szCs w:val="21"/>
              </w:rPr>
              <w:t>1元的整数倍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8" w:type="dxa"/>
            <w:noWrap w:val="0"/>
            <w:vAlign w:val="center"/>
          </w:tcPr>
          <w:p>
            <w:pPr>
              <w:jc w:val="center"/>
              <w:rPr>
                <w:rFonts w:hint="eastAsia" w:ascii="楷体" w:hAnsi="楷体" w:eastAsia="楷体" w:cs="宋体"/>
                <w:spacing w:val="-2"/>
                <w:sz w:val="21"/>
                <w:szCs w:val="21"/>
              </w:rPr>
            </w:pPr>
            <w:r>
              <w:rPr>
                <w:rFonts w:hint="eastAsia" w:ascii="楷体" w:hAnsi="楷体" w:eastAsia="楷体" w:cs="宋体"/>
                <w:spacing w:val="-2"/>
                <w:sz w:val="21"/>
                <w:szCs w:val="21"/>
              </w:rPr>
              <w:t>苏银理财恒源融达1号6月JS鑫福款</w:t>
            </w:r>
          </w:p>
        </w:tc>
        <w:tc>
          <w:tcPr>
            <w:tcW w:w="1701" w:type="dxa"/>
            <w:noWrap w:val="0"/>
            <w:vAlign w:val="center"/>
          </w:tcPr>
          <w:p>
            <w:pPr>
              <w:tabs>
                <w:tab w:val="left" w:pos="993"/>
              </w:tabs>
              <w:jc w:val="center"/>
              <w:rPr>
                <w:rFonts w:hint="eastAsia" w:ascii="楷体" w:hAnsi="楷体" w:eastAsia="楷体" w:cs="Calibri"/>
                <w:kern w:val="2"/>
                <w:sz w:val="21"/>
                <w:szCs w:val="21"/>
                <w:lang w:val="en-US" w:eastAsia="zh-CN" w:bidi="ar-SA"/>
              </w:rPr>
            </w:pPr>
            <w:r>
              <w:rPr>
                <w:rFonts w:hint="eastAsia" w:ascii="楷体" w:hAnsi="楷体" w:eastAsia="楷体" w:cs="Calibri"/>
                <w:kern w:val="2"/>
                <w:sz w:val="21"/>
                <w:szCs w:val="21"/>
                <w:lang w:val="en-US" w:eastAsia="zh-CN" w:bidi="ar-SA"/>
              </w:rPr>
              <w:t>J03807</w:t>
            </w:r>
          </w:p>
        </w:tc>
        <w:tc>
          <w:tcPr>
            <w:tcW w:w="1745" w:type="dxa"/>
            <w:noWrap w:val="0"/>
            <w:vAlign w:val="center"/>
          </w:tcPr>
          <w:p>
            <w:pPr>
              <w:tabs>
                <w:tab w:val="left" w:pos="993"/>
              </w:tabs>
              <w:jc w:val="center"/>
              <w:rPr>
                <w:rFonts w:hint="eastAsia" w:ascii="楷体" w:hAnsi="楷体" w:eastAsia="楷体" w:cs="Calibri"/>
                <w:kern w:val="2"/>
                <w:sz w:val="21"/>
                <w:szCs w:val="21"/>
                <w:lang w:val="en-US" w:eastAsia="zh-CN" w:bidi="ar-SA"/>
              </w:rPr>
            </w:pPr>
            <w:r>
              <w:rPr>
                <w:rFonts w:hint="eastAsia" w:ascii="楷体" w:hAnsi="楷体" w:eastAsia="楷体" w:cs="Calibri"/>
                <w:szCs w:val="21"/>
              </w:rPr>
              <w:t>1元</w:t>
            </w:r>
          </w:p>
        </w:tc>
        <w:tc>
          <w:tcPr>
            <w:tcW w:w="1988" w:type="dxa"/>
            <w:noWrap w:val="0"/>
            <w:vAlign w:val="center"/>
          </w:tcPr>
          <w:p>
            <w:pPr>
              <w:tabs>
                <w:tab w:val="left" w:pos="993"/>
              </w:tabs>
              <w:jc w:val="center"/>
              <w:rPr>
                <w:rFonts w:hint="eastAsia" w:ascii="楷体" w:hAnsi="楷体" w:eastAsia="楷体" w:cs="宋体"/>
                <w:spacing w:val="-2"/>
                <w:kern w:val="2"/>
                <w:sz w:val="21"/>
                <w:szCs w:val="21"/>
                <w:lang w:val="en-US" w:eastAsia="zh-CN" w:bidi="ar-SA"/>
              </w:rPr>
            </w:pPr>
            <w:r>
              <w:rPr>
                <w:rFonts w:hint="eastAsia" w:ascii="楷体" w:hAnsi="楷体" w:eastAsia="楷体" w:cs="宋体"/>
                <w:spacing w:val="-2"/>
                <w:szCs w:val="21"/>
              </w:rPr>
              <w:t>1元的整数倍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8" w:type="dxa"/>
            <w:noWrap w:val="0"/>
            <w:vAlign w:val="center"/>
          </w:tcPr>
          <w:p>
            <w:pPr>
              <w:jc w:val="center"/>
              <w:rPr>
                <w:rFonts w:hint="eastAsia" w:ascii="楷体" w:hAnsi="楷体" w:eastAsia="楷体" w:cs="宋体"/>
                <w:spacing w:val="-2"/>
                <w:sz w:val="21"/>
                <w:szCs w:val="21"/>
              </w:rPr>
            </w:pPr>
            <w:r>
              <w:rPr>
                <w:rFonts w:hint="eastAsia" w:ascii="楷体" w:hAnsi="楷体" w:eastAsia="楷体" w:cs="宋体"/>
                <w:spacing w:val="-2"/>
                <w:sz w:val="21"/>
                <w:szCs w:val="21"/>
                <w:lang w:val="en-US" w:eastAsia="zh-CN"/>
              </w:rPr>
              <w:t>苏银理财恒源融达1号6月（芙蓉锦程·优选-尊享款）</w:t>
            </w:r>
          </w:p>
        </w:tc>
        <w:tc>
          <w:tcPr>
            <w:tcW w:w="1701" w:type="dxa"/>
            <w:noWrap w:val="0"/>
            <w:vAlign w:val="center"/>
          </w:tcPr>
          <w:p>
            <w:pPr>
              <w:jc w:val="center"/>
              <w:rPr>
                <w:rFonts w:hint="eastAsia" w:ascii="楷体" w:hAnsi="楷体" w:eastAsia="楷体" w:cs="宋体"/>
                <w:spacing w:val="-2"/>
                <w:sz w:val="21"/>
                <w:szCs w:val="21"/>
                <w:lang w:val="en-US" w:eastAsia="zh-CN"/>
              </w:rPr>
            </w:pPr>
            <w:r>
              <w:rPr>
                <w:rFonts w:hint="eastAsia" w:ascii="楷体" w:hAnsi="楷体" w:eastAsia="楷体" w:cs="宋体"/>
                <w:spacing w:val="-2"/>
                <w:sz w:val="21"/>
                <w:szCs w:val="21"/>
                <w:lang w:val="en-US" w:eastAsia="zh-CN"/>
              </w:rPr>
              <w:t>J04954</w:t>
            </w:r>
          </w:p>
        </w:tc>
        <w:tc>
          <w:tcPr>
            <w:tcW w:w="1745" w:type="dxa"/>
            <w:noWrap w:val="0"/>
            <w:vAlign w:val="center"/>
          </w:tcPr>
          <w:p>
            <w:pPr>
              <w:tabs>
                <w:tab w:val="left" w:pos="993"/>
              </w:tabs>
              <w:jc w:val="center"/>
              <w:rPr>
                <w:rFonts w:hint="eastAsia" w:ascii="楷体" w:hAnsi="楷体" w:eastAsia="楷体" w:cs="Calibri"/>
                <w:szCs w:val="21"/>
              </w:rPr>
            </w:pPr>
            <w:r>
              <w:rPr>
                <w:rFonts w:hint="eastAsia" w:ascii="楷体" w:hAnsi="楷体" w:eastAsia="楷体" w:cs="Calibri"/>
                <w:szCs w:val="21"/>
              </w:rPr>
              <w:t>1元</w:t>
            </w:r>
          </w:p>
        </w:tc>
        <w:tc>
          <w:tcPr>
            <w:tcW w:w="1988" w:type="dxa"/>
            <w:noWrap w:val="0"/>
            <w:vAlign w:val="center"/>
          </w:tcPr>
          <w:p>
            <w:pPr>
              <w:tabs>
                <w:tab w:val="left" w:pos="993"/>
              </w:tabs>
              <w:jc w:val="center"/>
              <w:rPr>
                <w:rFonts w:hint="eastAsia" w:ascii="楷体" w:hAnsi="楷体" w:eastAsia="楷体" w:cs="宋体"/>
                <w:spacing w:val="-2"/>
                <w:szCs w:val="21"/>
              </w:rPr>
            </w:pPr>
            <w:r>
              <w:rPr>
                <w:rFonts w:hint="eastAsia" w:ascii="楷体" w:hAnsi="楷体" w:eastAsia="楷体" w:cs="宋体"/>
                <w:spacing w:val="-2"/>
                <w:szCs w:val="21"/>
              </w:rPr>
              <w:t>1元的整数倍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8" w:type="dxa"/>
            <w:noWrap w:val="0"/>
            <w:vAlign w:val="center"/>
          </w:tcPr>
          <w:p>
            <w:pPr>
              <w:jc w:val="center"/>
              <w:rPr>
                <w:rFonts w:hint="eastAsia" w:ascii="楷体" w:hAnsi="楷体" w:eastAsia="楷体" w:cs="宋体"/>
                <w:spacing w:val="-2"/>
                <w:sz w:val="21"/>
                <w:szCs w:val="21"/>
                <w:lang w:val="en-US" w:eastAsia="zh-CN"/>
              </w:rPr>
            </w:pPr>
            <w:r>
              <w:rPr>
                <w:rFonts w:hint="eastAsia" w:ascii="楷体" w:hAnsi="楷体" w:eastAsia="楷体" w:cs="宋体"/>
                <w:spacing w:val="-2"/>
                <w:sz w:val="21"/>
                <w:szCs w:val="21"/>
                <w:lang w:val="en-US" w:eastAsia="zh-CN"/>
              </w:rPr>
              <w:t>苏银理财恒源融达1号6月（北部湾银行专属）</w:t>
            </w:r>
          </w:p>
        </w:tc>
        <w:tc>
          <w:tcPr>
            <w:tcW w:w="1701" w:type="dxa"/>
            <w:noWrap w:val="0"/>
            <w:vAlign w:val="center"/>
          </w:tcPr>
          <w:p>
            <w:pPr>
              <w:jc w:val="center"/>
              <w:rPr>
                <w:rFonts w:hint="eastAsia" w:ascii="楷体" w:hAnsi="楷体" w:eastAsia="楷体" w:cs="宋体"/>
                <w:spacing w:val="-2"/>
                <w:sz w:val="21"/>
                <w:szCs w:val="21"/>
                <w:lang w:val="en-US" w:eastAsia="zh-CN"/>
              </w:rPr>
            </w:pPr>
            <w:r>
              <w:rPr>
                <w:rFonts w:hint="eastAsia" w:ascii="楷体" w:hAnsi="楷体" w:eastAsia="楷体" w:cs="宋体"/>
                <w:spacing w:val="-2"/>
                <w:sz w:val="21"/>
                <w:szCs w:val="21"/>
                <w:lang w:val="en-US" w:eastAsia="zh-CN"/>
              </w:rPr>
              <w:t>J07237</w:t>
            </w:r>
          </w:p>
        </w:tc>
        <w:tc>
          <w:tcPr>
            <w:tcW w:w="1745" w:type="dxa"/>
            <w:noWrap w:val="0"/>
            <w:vAlign w:val="center"/>
          </w:tcPr>
          <w:p>
            <w:pPr>
              <w:tabs>
                <w:tab w:val="left" w:pos="993"/>
              </w:tabs>
              <w:jc w:val="center"/>
              <w:rPr>
                <w:rFonts w:hint="eastAsia" w:ascii="楷体" w:hAnsi="楷体" w:eastAsia="楷体" w:cs="Calibri"/>
                <w:kern w:val="2"/>
                <w:sz w:val="21"/>
                <w:szCs w:val="21"/>
                <w:lang w:val="en-US" w:eastAsia="zh-CN" w:bidi="ar-SA"/>
              </w:rPr>
            </w:pPr>
            <w:r>
              <w:rPr>
                <w:rFonts w:hint="eastAsia" w:ascii="楷体" w:hAnsi="楷体" w:eastAsia="楷体" w:cs="Calibri"/>
                <w:szCs w:val="21"/>
                <w:lang w:val="en-US" w:eastAsia="zh-CN"/>
              </w:rPr>
              <w:t>0.0</w:t>
            </w:r>
            <w:r>
              <w:rPr>
                <w:rFonts w:hint="eastAsia" w:ascii="楷体" w:hAnsi="楷体" w:eastAsia="楷体" w:cs="Calibri"/>
                <w:szCs w:val="21"/>
              </w:rPr>
              <w:t>1元</w:t>
            </w:r>
          </w:p>
        </w:tc>
        <w:tc>
          <w:tcPr>
            <w:tcW w:w="1988" w:type="dxa"/>
            <w:noWrap w:val="0"/>
            <w:vAlign w:val="center"/>
          </w:tcPr>
          <w:p>
            <w:pPr>
              <w:tabs>
                <w:tab w:val="left" w:pos="993"/>
              </w:tabs>
              <w:jc w:val="center"/>
              <w:rPr>
                <w:rFonts w:hint="eastAsia" w:ascii="楷体" w:hAnsi="楷体" w:eastAsia="楷体" w:cs="宋体"/>
                <w:spacing w:val="-2"/>
                <w:kern w:val="2"/>
                <w:sz w:val="21"/>
                <w:szCs w:val="21"/>
                <w:lang w:val="en-US" w:eastAsia="zh-CN" w:bidi="ar-SA"/>
              </w:rPr>
            </w:pPr>
            <w:r>
              <w:rPr>
                <w:rFonts w:hint="eastAsia" w:ascii="楷体" w:hAnsi="楷体" w:eastAsia="楷体" w:cs="宋体"/>
                <w:spacing w:val="-2"/>
                <w:szCs w:val="21"/>
                <w:lang w:val="en-US" w:eastAsia="zh-CN"/>
              </w:rPr>
              <w:t>0.0</w:t>
            </w:r>
            <w:r>
              <w:rPr>
                <w:rFonts w:hint="eastAsia" w:ascii="楷体" w:hAnsi="楷体" w:eastAsia="楷体" w:cs="宋体"/>
                <w:spacing w:val="-2"/>
                <w:szCs w:val="21"/>
              </w:rPr>
              <w:t>1元的整数倍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8" w:type="dxa"/>
            <w:noWrap w:val="0"/>
            <w:vAlign w:val="center"/>
          </w:tcPr>
          <w:p>
            <w:pPr>
              <w:jc w:val="center"/>
              <w:rPr>
                <w:rFonts w:hint="eastAsia" w:ascii="楷体" w:hAnsi="楷体" w:eastAsia="楷体" w:cs="宋体"/>
                <w:spacing w:val="-2"/>
                <w:sz w:val="21"/>
                <w:szCs w:val="21"/>
                <w:lang w:val="en-US" w:eastAsia="zh-CN"/>
              </w:rPr>
            </w:pPr>
            <w:r>
              <w:rPr>
                <w:rFonts w:hint="eastAsia" w:ascii="楷体" w:hAnsi="楷体" w:eastAsia="楷体" w:cs="宋体"/>
                <w:spacing w:val="-2"/>
                <w:sz w:val="21"/>
                <w:szCs w:val="21"/>
              </w:rPr>
              <w:t>苏银理财</w:t>
            </w:r>
            <w:r>
              <w:rPr>
                <w:rFonts w:hint="eastAsia" w:ascii="楷体" w:hAnsi="楷体" w:eastAsia="楷体" w:cs="宋体"/>
                <w:spacing w:val="-2"/>
                <w:sz w:val="21"/>
                <w:szCs w:val="21"/>
                <w:lang w:val="en-US" w:eastAsia="zh-CN"/>
              </w:rPr>
              <w:t>恒源</w:t>
            </w:r>
            <w:r>
              <w:rPr>
                <w:rFonts w:hint="eastAsia" w:ascii="楷体" w:hAnsi="楷体" w:eastAsia="楷体" w:cs="宋体"/>
                <w:spacing w:val="-2"/>
                <w:sz w:val="21"/>
                <w:szCs w:val="21"/>
              </w:rPr>
              <w:t>融达1号6月</w:t>
            </w:r>
            <w:r>
              <w:rPr>
                <w:rFonts w:hint="eastAsia" w:ascii="楷体" w:hAnsi="楷体" w:eastAsia="楷体" w:cs="宋体"/>
                <w:spacing w:val="-2"/>
                <w:sz w:val="21"/>
                <w:szCs w:val="21"/>
                <w:lang w:val="en-US" w:eastAsia="zh-CN"/>
              </w:rPr>
              <w:t>P</w:t>
            </w:r>
          </w:p>
        </w:tc>
        <w:tc>
          <w:tcPr>
            <w:tcW w:w="1701" w:type="dxa"/>
            <w:noWrap w:val="0"/>
            <w:vAlign w:val="center"/>
          </w:tcPr>
          <w:p>
            <w:pPr>
              <w:jc w:val="center"/>
              <w:rPr>
                <w:rFonts w:hint="eastAsia" w:ascii="楷体" w:hAnsi="楷体" w:eastAsia="楷体" w:cs="宋体"/>
                <w:spacing w:val="-2"/>
                <w:sz w:val="21"/>
                <w:szCs w:val="21"/>
                <w:lang w:val="en-US" w:eastAsia="zh-CN"/>
              </w:rPr>
            </w:pPr>
            <w:r>
              <w:rPr>
                <w:rFonts w:hint="eastAsia" w:ascii="楷体" w:hAnsi="楷体" w:eastAsia="楷体" w:cs="宋体"/>
                <w:spacing w:val="-2"/>
                <w:sz w:val="21"/>
                <w:szCs w:val="21"/>
                <w:lang w:val="en-US" w:eastAsia="zh-CN"/>
              </w:rPr>
              <w:t>J07303</w:t>
            </w:r>
          </w:p>
        </w:tc>
        <w:tc>
          <w:tcPr>
            <w:tcW w:w="1745" w:type="dxa"/>
            <w:noWrap w:val="0"/>
            <w:vAlign w:val="center"/>
          </w:tcPr>
          <w:p>
            <w:pPr>
              <w:tabs>
                <w:tab w:val="left" w:pos="993"/>
              </w:tabs>
              <w:jc w:val="center"/>
              <w:rPr>
                <w:rFonts w:hint="eastAsia" w:ascii="楷体" w:hAnsi="楷体" w:eastAsia="楷体" w:cs="Calibri"/>
                <w:kern w:val="2"/>
                <w:sz w:val="21"/>
                <w:szCs w:val="21"/>
                <w:lang w:val="en-US" w:eastAsia="zh-CN" w:bidi="ar-SA"/>
              </w:rPr>
            </w:pPr>
            <w:r>
              <w:rPr>
                <w:rFonts w:hint="eastAsia" w:ascii="楷体" w:hAnsi="楷体" w:eastAsia="楷体" w:cs="Calibri"/>
                <w:szCs w:val="21"/>
                <w:lang w:val="en-US" w:eastAsia="zh-CN"/>
              </w:rPr>
              <w:t>20万元</w:t>
            </w:r>
          </w:p>
        </w:tc>
        <w:tc>
          <w:tcPr>
            <w:tcW w:w="1988" w:type="dxa"/>
            <w:noWrap w:val="0"/>
            <w:vAlign w:val="center"/>
          </w:tcPr>
          <w:p>
            <w:pPr>
              <w:tabs>
                <w:tab w:val="left" w:pos="993"/>
              </w:tabs>
              <w:jc w:val="center"/>
              <w:rPr>
                <w:rFonts w:hint="eastAsia" w:ascii="楷体" w:hAnsi="楷体" w:eastAsia="楷体" w:cs="宋体"/>
                <w:spacing w:val="-2"/>
                <w:kern w:val="2"/>
                <w:sz w:val="21"/>
                <w:szCs w:val="21"/>
                <w:lang w:val="en-US" w:eastAsia="zh-CN" w:bidi="ar-SA"/>
              </w:rPr>
            </w:pPr>
            <w:r>
              <w:rPr>
                <w:rFonts w:hint="eastAsia" w:ascii="楷体" w:hAnsi="楷体" w:eastAsia="楷体" w:cs="宋体"/>
                <w:spacing w:val="-2"/>
                <w:szCs w:val="21"/>
              </w:rPr>
              <w:t>1万元的整数倍</w:t>
            </w:r>
          </w:p>
        </w:tc>
      </w:tr>
    </w:tbl>
    <w:p>
      <w:pPr>
        <w:numPr>
          <w:ilvl w:val="0"/>
          <w:numId w:val="23"/>
        </w:numPr>
        <w:tabs>
          <w:tab w:val="left" w:pos="993"/>
        </w:tabs>
        <w:ind w:left="0" w:firstLine="480" w:firstLineChars="200"/>
        <w:rPr>
          <w:rFonts w:ascii="楷体" w:hAnsi="楷体" w:eastAsia="楷体" w:cs="Calibri"/>
          <w:sz w:val="24"/>
          <w:szCs w:val="24"/>
        </w:rPr>
      </w:pPr>
      <w:r>
        <w:rPr>
          <w:rFonts w:hint="eastAsia" w:ascii="楷体" w:hAnsi="楷体" w:eastAsia="楷体" w:cs="Calibri"/>
          <w:sz w:val="24"/>
          <w:szCs w:val="24"/>
        </w:rPr>
        <w:t>单一投资者单个工作日认购</w:t>
      </w:r>
      <w:r>
        <w:rPr>
          <w:rFonts w:hint="eastAsia" w:ascii="楷体" w:hAnsi="楷体" w:eastAsia="楷体" w:cs="Calibri"/>
          <w:sz w:val="24"/>
          <w:szCs w:val="24"/>
          <w:lang w:val="en-US" w:eastAsia="zh-CN"/>
        </w:rPr>
        <w:t>/申购</w:t>
      </w:r>
      <w:r>
        <w:rPr>
          <w:rFonts w:hint="eastAsia" w:ascii="楷体" w:hAnsi="楷体" w:eastAsia="楷体" w:cs="Calibri"/>
          <w:sz w:val="24"/>
          <w:szCs w:val="24"/>
        </w:rPr>
        <w:t>上限：</w:t>
      </w:r>
    </w:p>
    <w:p>
      <w:pPr>
        <w:tabs>
          <w:tab w:val="left" w:pos="993"/>
        </w:tabs>
        <w:ind w:left="420" w:leftChars="200"/>
        <w:rPr>
          <w:rFonts w:hint="eastAsia" w:ascii="楷体" w:hAnsi="楷体" w:eastAsia="楷体" w:cs="Calibri"/>
          <w:sz w:val="24"/>
          <w:szCs w:val="24"/>
        </w:rPr>
      </w:pPr>
      <w:r>
        <w:rPr>
          <w:rFonts w:hint="eastAsia" w:ascii="楷体" w:hAnsi="楷体" w:eastAsia="楷体" w:cs="Calibri"/>
          <w:sz w:val="24"/>
          <w:szCs w:val="24"/>
        </w:rPr>
        <w:t>暂无。</w:t>
      </w:r>
    </w:p>
    <w:p>
      <w:pPr>
        <w:numPr>
          <w:ilvl w:val="0"/>
          <w:numId w:val="23"/>
        </w:numPr>
        <w:tabs>
          <w:tab w:val="left" w:pos="993"/>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认购资金的清算</w:t>
      </w:r>
    </w:p>
    <w:p>
      <w:pPr>
        <w:numPr>
          <w:ilvl w:val="0"/>
          <w:numId w:val="0"/>
        </w:numPr>
        <w:tabs>
          <w:tab w:val="left" w:pos="728"/>
        </w:tabs>
        <w:ind w:firstLine="480" w:firstLineChars="200"/>
        <w:rPr>
          <w:rFonts w:hint="eastAsia" w:ascii="楷体" w:hAnsi="楷体" w:eastAsia="楷体" w:cs="Calibri"/>
          <w:sz w:val="24"/>
          <w:szCs w:val="24"/>
        </w:rPr>
      </w:pPr>
      <w:r>
        <w:rPr>
          <w:rFonts w:hint="eastAsia" w:ascii="楷体" w:hAnsi="楷体" w:eastAsia="楷体"/>
          <w:sz w:val="24"/>
          <w:szCs w:val="24"/>
          <w:highlight w:val="none"/>
        </w:rPr>
        <w:t>投资者提出认购申请时，须备足购买资金。如投资者通过代销渠道购买，管理人在份额确认日通知销售机构扣划投资者认购资金，投资者应在扣款前保证资金账户中拥有足够可用余额</w:t>
      </w:r>
      <w:r>
        <w:rPr>
          <w:rFonts w:hint="eastAsia" w:ascii="楷体" w:hAnsi="楷体" w:eastAsia="楷体"/>
          <w:sz w:val="24"/>
          <w:szCs w:val="24"/>
          <w:highlight w:val="none"/>
          <w:lang w:eastAsia="zh-CN"/>
        </w:rPr>
        <w:t>；</w:t>
      </w:r>
      <w:r>
        <w:rPr>
          <w:rFonts w:hint="eastAsia" w:ascii="楷体" w:hAnsi="楷体" w:eastAsia="楷体"/>
          <w:sz w:val="24"/>
          <w:szCs w:val="24"/>
          <w:highlight w:val="none"/>
        </w:rPr>
        <w:t>如投资者通过苏银</w:t>
      </w:r>
      <w:r>
        <w:rPr>
          <w:rFonts w:hint="eastAsia" w:ascii="楷体" w:hAnsi="楷体" w:eastAsia="楷体"/>
          <w:sz w:val="24"/>
          <w:szCs w:val="24"/>
          <w:highlight w:val="none"/>
          <w:lang w:val="en-US" w:eastAsia="zh-CN"/>
        </w:rPr>
        <w:t>理财</w:t>
      </w:r>
      <w:r>
        <w:rPr>
          <w:rFonts w:hint="eastAsia" w:ascii="楷体" w:hAnsi="楷体" w:eastAsia="楷体"/>
          <w:sz w:val="24"/>
          <w:szCs w:val="24"/>
          <w:highlight w:val="none"/>
        </w:rPr>
        <w:t>直营</w:t>
      </w:r>
      <w:r>
        <w:rPr>
          <w:rFonts w:hint="eastAsia" w:ascii="楷体" w:hAnsi="楷体" w:eastAsia="楷体"/>
          <w:sz w:val="24"/>
          <w:szCs w:val="24"/>
          <w:highlight w:val="none"/>
          <w:lang w:val="en-US" w:eastAsia="zh-CN"/>
        </w:rPr>
        <w:t>渠道</w:t>
      </w:r>
      <w:r>
        <w:rPr>
          <w:rFonts w:hint="eastAsia" w:ascii="楷体" w:hAnsi="楷体" w:eastAsia="楷体"/>
          <w:sz w:val="24"/>
          <w:szCs w:val="24"/>
          <w:highlight w:val="none"/>
        </w:rPr>
        <w:t>购买</w:t>
      </w:r>
      <w:r>
        <w:rPr>
          <w:rFonts w:hint="eastAsia" w:ascii="楷体" w:hAnsi="楷体" w:eastAsia="楷体"/>
          <w:sz w:val="24"/>
          <w:szCs w:val="24"/>
          <w:highlight w:val="none"/>
          <w:lang w:eastAsia="zh-CN"/>
        </w:rPr>
        <w:t>，</w:t>
      </w:r>
      <w:r>
        <w:rPr>
          <w:rFonts w:hint="eastAsia" w:ascii="楷体" w:hAnsi="楷体" w:eastAsia="楷体"/>
          <w:sz w:val="24"/>
          <w:szCs w:val="24"/>
          <w:highlight w:val="none"/>
        </w:rPr>
        <w:t>资金清算以《理财产品销售协议书》约定为准。因投资者资金账户余额不足、司法冻结、不可抗力因素或其他不可归责于苏银理财和销售机构的事由出现，造成扣款失败，认购申请未被确认的，苏银理财和销售机构不承担任何责任。</w:t>
      </w:r>
    </w:p>
    <w:p>
      <w:pPr>
        <w:numPr>
          <w:ilvl w:val="0"/>
          <w:numId w:val="23"/>
        </w:numPr>
        <w:tabs>
          <w:tab w:val="left" w:pos="993"/>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认购份额登记日：</w:t>
      </w:r>
      <w:r>
        <w:rPr>
          <w:rFonts w:hint="eastAsia" w:ascii="楷体" w:hAnsi="楷体" w:eastAsia="楷体" w:cs="Calibri"/>
          <w:sz w:val="24"/>
          <w:szCs w:val="24"/>
          <w:highlight w:val="none"/>
        </w:rPr>
        <w:t>产品份额于2018年9月4日进行份额登记。</w:t>
      </w:r>
    </w:p>
    <w:p>
      <w:pPr>
        <w:numPr>
          <w:ilvl w:val="0"/>
          <w:numId w:val="23"/>
        </w:numPr>
        <w:tabs>
          <w:tab w:val="left" w:pos="993"/>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认购份额的计算</w:t>
      </w:r>
    </w:p>
    <w:p>
      <w:pPr>
        <w:ind w:firstLine="480" w:firstLineChars="200"/>
        <w:rPr>
          <w:rFonts w:hint="eastAsia" w:ascii="楷体" w:hAnsi="楷体" w:eastAsia="楷体"/>
          <w:sz w:val="24"/>
          <w:szCs w:val="24"/>
        </w:rPr>
      </w:pPr>
      <w:r>
        <w:rPr>
          <w:rFonts w:ascii="楷体" w:hAnsi="楷体" w:eastAsia="楷体"/>
          <w:sz w:val="24"/>
          <w:szCs w:val="24"/>
        </w:rPr>
        <w:t>认购份额=</w:t>
      </w:r>
      <w:r>
        <w:rPr>
          <w:rFonts w:hint="eastAsia" w:ascii="楷体" w:hAnsi="楷体" w:eastAsia="楷体"/>
          <w:sz w:val="24"/>
          <w:szCs w:val="24"/>
        </w:rPr>
        <w:t>认购金额</w:t>
      </w:r>
      <w:r>
        <w:rPr>
          <w:rFonts w:ascii="楷体" w:hAnsi="楷体" w:eastAsia="楷体"/>
          <w:sz w:val="24"/>
          <w:szCs w:val="24"/>
        </w:rPr>
        <w:t>/</w:t>
      </w:r>
      <w:r>
        <w:rPr>
          <w:rFonts w:hint="eastAsia" w:ascii="楷体" w:hAnsi="楷体" w:eastAsia="楷体"/>
          <w:sz w:val="24"/>
          <w:szCs w:val="24"/>
        </w:rPr>
        <w:t>产品成立时单位净值</w:t>
      </w:r>
    </w:p>
    <w:p>
      <w:pPr>
        <w:ind w:firstLine="480" w:firstLineChars="200"/>
        <w:rPr>
          <w:rFonts w:hint="eastAsia" w:ascii="楷体" w:hAnsi="楷体" w:eastAsia="楷体"/>
          <w:sz w:val="24"/>
          <w:szCs w:val="24"/>
        </w:rPr>
      </w:pPr>
      <w:r>
        <w:rPr>
          <w:rFonts w:hint="eastAsia" w:ascii="楷体" w:hAnsi="楷体" w:eastAsia="楷体"/>
          <w:sz w:val="24"/>
          <w:szCs w:val="24"/>
        </w:rPr>
        <w:t>产品成立时单位净值为1元/份，</w:t>
      </w:r>
      <w:r>
        <w:rPr>
          <w:rFonts w:ascii="楷体" w:hAnsi="楷体" w:eastAsia="楷体"/>
          <w:sz w:val="24"/>
          <w:szCs w:val="24"/>
        </w:rPr>
        <w:t>认购份额</w:t>
      </w:r>
      <w:r>
        <w:rPr>
          <w:rFonts w:hint="eastAsia" w:ascii="楷体" w:hAnsi="楷体" w:eastAsia="楷体"/>
          <w:sz w:val="24"/>
          <w:szCs w:val="24"/>
        </w:rPr>
        <w:t>以四舍五入的方法保留到小数点后两位。</w:t>
      </w:r>
    </w:p>
    <w:p>
      <w:pPr>
        <w:numPr>
          <w:ilvl w:val="0"/>
          <w:numId w:val="14"/>
        </w:numPr>
        <w:tabs>
          <w:tab w:val="left" w:pos="1134"/>
        </w:tabs>
        <w:ind w:firstLine="482" w:firstLineChars="200"/>
        <w:outlineLvl w:val="1"/>
        <w:rPr>
          <w:rFonts w:hint="eastAsia" w:ascii="楷体" w:hAnsi="楷体" w:eastAsia="楷体"/>
          <w:b/>
          <w:sz w:val="28"/>
          <w:szCs w:val="28"/>
        </w:rPr>
      </w:pPr>
      <w:r>
        <w:rPr>
          <w:rFonts w:hint="eastAsia" w:ascii="楷体" w:hAnsi="楷体" w:eastAsia="楷体" w:cs="Calibri"/>
          <w:b/>
          <w:sz w:val="24"/>
          <w:szCs w:val="24"/>
        </w:rPr>
        <w:t xml:space="preserve"> </w:t>
      </w:r>
      <w:r>
        <w:rPr>
          <w:rFonts w:hint="eastAsia" w:ascii="楷体" w:hAnsi="楷体" w:eastAsia="楷体"/>
          <w:b/>
          <w:sz w:val="28"/>
          <w:szCs w:val="28"/>
        </w:rPr>
        <w:t>产品估值</w:t>
      </w:r>
    </w:p>
    <w:p>
      <w:pPr>
        <w:numPr>
          <w:ilvl w:val="0"/>
          <w:numId w:val="24"/>
        </w:numPr>
        <w:tabs>
          <w:tab w:val="left" w:pos="993"/>
        </w:tabs>
        <w:ind w:left="0" w:firstLine="482" w:firstLineChars="200"/>
        <w:rPr>
          <w:rFonts w:hint="eastAsia" w:ascii="楷体" w:hAnsi="楷体" w:eastAsia="楷体" w:cs="Calibri"/>
          <w:b/>
          <w:bCs/>
          <w:sz w:val="24"/>
          <w:szCs w:val="24"/>
        </w:rPr>
      </w:pPr>
      <w:r>
        <w:rPr>
          <w:rFonts w:hint="eastAsia" w:ascii="楷体" w:hAnsi="楷体" w:eastAsia="楷体" w:cs="Calibri"/>
          <w:b/>
          <w:bCs/>
          <w:sz w:val="24"/>
          <w:szCs w:val="24"/>
        </w:rPr>
        <w:t>估值对象</w:t>
      </w:r>
    </w:p>
    <w:p>
      <w:pPr>
        <w:ind w:firstLine="480" w:firstLineChars="200"/>
        <w:rPr>
          <w:rFonts w:ascii="楷体" w:hAnsi="楷体" w:eastAsia="楷体"/>
          <w:sz w:val="24"/>
          <w:szCs w:val="24"/>
        </w:rPr>
      </w:pPr>
      <w:r>
        <w:rPr>
          <w:rFonts w:hint="eastAsia" w:ascii="楷体" w:hAnsi="楷体" w:eastAsia="楷体"/>
          <w:sz w:val="24"/>
          <w:szCs w:val="24"/>
        </w:rPr>
        <w:t>本产品所拥有的各类证券、银行存款、应收款项及其它资产及负债。</w:t>
      </w:r>
    </w:p>
    <w:p>
      <w:pPr>
        <w:numPr>
          <w:ilvl w:val="0"/>
          <w:numId w:val="24"/>
        </w:numPr>
        <w:tabs>
          <w:tab w:val="left" w:pos="993"/>
        </w:tabs>
        <w:ind w:left="0" w:firstLine="482" w:firstLineChars="200"/>
        <w:rPr>
          <w:rFonts w:ascii="楷体" w:hAnsi="楷体" w:eastAsia="楷体" w:cs="Calibri"/>
          <w:b/>
          <w:bCs/>
          <w:sz w:val="24"/>
          <w:szCs w:val="24"/>
        </w:rPr>
      </w:pPr>
      <w:r>
        <w:rPr>
          <w:rFonts w:hint="eastAsia" w:ascii="楷体" w:hAnsi="楷体" w:eastAsia="楷体" w:cs="Calibri"/>
          <w:b/>
          <w:bCs/>
          <w:sz w:val="24"/>
          <w:szCs w:val="24"/>
        </w:rPr>
        <w:t>估值要求</w:t>
      </w:r>
    </w:p>
    <w:p>
      <w:pPr>
        <w:numPr>
          <w:ilvl w:val="0"/>
          <w:numId w:val="25"/>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本产品资产估值的目的是客观、准确的反映资产净值，确定理财产品资产净值，并为理财产品的</w:t>
      </w:r>
      <w:r>
        <w:rPr>
          <w:rFonts w:hint="eastAsia" w:ascii="楷体" w:hAnsi="楷体" w:eastAsia="楷体" w:cs="Calibri"/>
          <w:sz w:val="24"/>
          <w:szCs w:val="24"/>
          <w:lang w:val="en-US" w:eastAsia="zh-CN"/>
        </w:rPr>
        <w:t>申购、赎回和</w:t>
      </w:r>
      <w:r>
        <w:rPr>
          <w:rFonts w:hint="eastAsia" w:ascii="楷体" w:hAnsi="楷体" w:eastAsia="楷体" w:cs="Calibri"/>
          <w:sz w:val="24"/>
          <w:szCs w:val="24"/>
        </w:rPr>
        <w:t>兑付提供计价依据。</w:t>
      </w:r>
    </w:p>
    <w:p>
      <w:pPr>
        <w:numPr>
          <w:ilvl w:val="0"/>
          <w:numId w:val="25"/>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本产品单位净值精确到小数点后</w:t>
      </w:r>
      <w:r>
        <w:rPr>
          <w:rFonts w:hint="eastAsia" w:ascii="楷体" w:hAnsi="楷体" w:eastAsia="楷体" w:cs="Calibri"/>
          <w:sz w:val="24"/>
          <w:szCs w:val="24"/>
          <w:lang w:val="en-US" w:eastAsia="zh-CN"/>
        </w:rPr>
        <w:t>6</w:t>
      </w:r>
      <w:r>
        <w:rPr>
          <w:rFonts w:hint="eastAsia" w:ascii="楷体" w:hAnsi="楷体" w:eastAsia="楷体" w:cs="Calibri"/>
          <w:sz w:val="24"/>
          <w:szCs w:val="24"/>
        </w:rPr>
        <w:t>位，小数点</w:t>
      </w:r>
      <w:r>
        <w:rPr>
          <w:rFonts w:hint="eastAsia" w:ascii="楷体" w:hAnsi="楷体" w:eastAsia="楷体" w:cs="Calibri"/>
          <w:sz w:val="24"/>
          <w:szCs w:val="24"/>
          <w:lang w:val="en-US" w:eastAsia="zh-CN"/>
        </w:rPr>
        <w:t>6</w:t>
      </w:r>
      <w:r>
        <w:rPr>
          <w:rFonts w:hint="eastAsia" w:ascii="楷体" w:hAnsi="楷体" w:eastAsia="楷体" w:cs="Calibri"/>
          <w:sz w:val="24"/>
          <w:szCs w:val="24"/>
        </w:rPr>
        <w:t>位后截位。</w:t>
      </w:r>
    </w:p>
    <w:p>
      <w:pPr>
        <w:numPr>
          <w:ilvl w:val="0"/>
          <w:numId w:val="25"/>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本产品每日估值</w:t>
      </w:r>
      <w:r>
        <w:rPr>
          <w:rFonts w:hint="eastAsia" w:ascii="楷体" w:hAnsi="楷体" w:eastAsia="楷体" w:cs="Calibri"/>
          <w:sz w:val="24"/>
          <w:szCs w:val="24"/>
          <w:lang w:eastAsia="zh-CN"/>
        </w:rPr>
        <w:t>，</w:t>
      </w:r>
      <w:r>
        <w:rPr>
          <w:rFonts w:hint="eastAsia" w:ascii="楷体" w:hAnsi="楷体" w:eastAsia="楷体" w:cs="Calibri"/>
          <w:sz w:val="24"/>
          <w:szCs w:val="24"/>
        </w:rPr>
        <w:t>存续期内每周按说明书约定方式披露单位净值，每个开放日结束后2个工作日内通过本理财产品说明书约定方式披露上一投资周期终止日的单位净值、份额累计净值、申购价格和赎回价格。</w:t>
      </w:r>
    </w:p>
    <w:p>
      <w:pPr>
        <w:numPr>
          <w:ilvl w:val="0"/>
          <w:numId w:val="24"/>
        </w:numPr>
        <w:tabs>
          <w:tab w:val="left" w:pos="993"/>
        </w:tabs>
        <w:ind w:left="0" w:firstLine="482" w:firstLineChars="200"/>
        <w:rPr>
          <w:rFonts w:ascii="楷体" w:hAnsi="楷体" w:eastAsia="楷体" w:cs="Calibri"/>
          <w:b/>
          <w:bCs/>
          <w:sz w:val="24"/>
          <w:szCs w:val="24"/>
        </w:rPr>
      </w:pPr>
      <w:r>
        <w:rPr>
          <w:rFonts w:hint="eastAsia" w:ascii="楷体" w:hAnsi="楷体" w:eastAsia="楷体" w:cs="Calibri"/>
          <w:b/>
          <w:bCs/>
          <w:sz w:val="24"/>
          <w:szCs w:val="24"/>
        </w:rPr>
        <w:t>估值方法</w:t>
      </w:r>
    </w:p>
    <w:p>
      <w:pPr>
        <w:numPr>
          <w:ilvl w:val="0"/>
          <w:numId w:val="26"/>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存款类资产、货币市场工具：以本金列示，逐日计提利息。</w:t>
      </w:r>
    </w:p>
    <w:p>
      <w:pPr>
        <w:numPr>
          <w:ilvl w:val="0"/>
          <w:numId w:val="26"/>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货币市场</w:t>
      </w:r>
      <w:r>
        <w:rPr>
          <w:rFonts w:ascii="楷体" w:hAnsi="楷体" w:eastAsia="楷体" w:cs="Calibri"/>
          <w:sz w:val="24"/>
          <w:szCs w:val="24"/>
        </w:rPr>
        <w:t>基金：</w:t>
      </w:r>
      <w:r>
        <w:rPr>
          <w:rFonts w:hint="eastAsia" w:ascii="楷体" w:hAnsi="楷体" w:eastAsia="楷体" w:cs="Calibri"/>
          <w:sz w:val="24"/>
          <w:szCs w:val="24"/>
        </w:rPr>
        <w:t>以估值截止时间点能够取得的最新每万份收益进行估值。</w:t>
      </w:r>
    </w:p>
    <w:p>
      <w:pPr>
        <w:numPr>
          <w:ilvl w:val="0"/>
          <w:numId w:val="26"/>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债券类资产：按公允价值进行估值，采用市价、第三方估值机构提供的估值价格、合理的估值技术或监管机构认可的其他估值方法进行估值。</w:t>
      </w:r>
    </w:p>
    <w:p>
      <w:pPr>
        <w:numPr>
          <w:ilvl w:val="0"/>
          <w:numId w:val="26"/>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权益类资产：按公允价值进行估值，采用市价、第三方估值机构提供的估值价格、合理的估值技术或监管机构认可的其他估值方法进行估值。</w:t>
      </w:r>
    </w:p>
    <w:p>
      <w:pPr>
        <w:numPr>
          <w:ilvl w:val="0"/>
          <w:numId w:val="26"/>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证券、基金、保险等资产管理计划和信托计划等资产（不含货币市场基金）：按照证券、基金、保险等资产管理计划和信托计划的管理人和托管人共同确认的最新净值或投资收益进行估值。</w:t>
      </w:r>
    </w:p>
    <w:p>
      <w:pPr>
        <w:numPr>
          <w:ilvl w:val="0"/>
          <w:numId w:val="26"/>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其他资产：按公允价值进行估值，采用合理的估值技术或监管机构认可的估值方法进行估值。</w:t>
      </w:r>
    </w:p>
    <w:p>
      <w:pPr>
        <w:ind w:firstLine="480" w:firstLineChars="200"/>
        <w:rPr>
          <w:rFonts w:hint="eastAsia" w:ascii="楷体" w:hAnsi="楷体" w:eastAsia="楷体"/>
          <w:sz w:val="24"/>
          <w:szCs w:val="24"/>
        </w:rPr>
      </w:pPr>
      <w:r>
        <w:rPr>
          <w:rFonts w:hint="eastAsia" w:ascii="楷体" w:hAnsi="楷体" w:eastAsia="楷体"/>
          <w:sz w:val="24"/>
          <w:szCs w:val="24"/>
        </w:rPr>
        <w:t>如有新增事项或变更事项，按国家最新规定或管理人最新约定进行估值。</w:t>
      </w:r>
    </w:p>
    <w:p>
      <w:pPr>
        <w:numPr>
          <w:ilvl w:val="0"/>
          <w:numId w:val="24"/>
        </w:numPr>
        <w:tabs>
          <w:tab w:val="left" w:pos="993"/>
        </w:tabs>
        <w:ind w:left="0" w:firstLine="482" w:firstLineChars="200"/>
        <w:rPr>
          <w:rFonts w:ascii="楷体" w:hAnsi="楷体" w:eastAsia="楷体" w:cs="Calibri"/>
          <w:b/>
          <w:bCs/>
          <w:sz w:val="24"/>
          <w:szCs w:val="24"/>
        </w:rPr>
      </w:pPr>
      <w:r>
        <w:rPr>
          <w:rFonts w:hint="eastAsia" w:ascii="楷体" w:hAnsi="楷体" w:eastAsia="楷体" w:cs="Calibri"/>
          <w:b/>
          <w:bCs/>
          <w:sz w:val="24"/>
          <w:szCs w:val="24"/>
        </w:rPr>
        <w:t>估值错误的处理</w:t>
      </w:r>
    </w:p>
    <w:p>
      <w:pPr>
        <w:ind w:firstLine="480" w:firstLineChars="200"/>
        <w:rPr>
          <w:rFonts w:ascii="楷体" w:hAnsi="楷体" w:eastAsia="楷体"/>
          <w:sz w:val="24"/>
          <w:szCs w:val="24"/>
        </w:rPr>
      </w:pPr>
      <w:r>
        <w:rPr>
          <w:rFonts w:hint="eastAsia" w:ascii="楷体" w:hAnsi="楷体" w:eastAsia="楷体"/>
          <w:sz w:val="24"/>
          <w:szCs w:val="24"/>
        </w:rPr>
        <w:t>产品管理人和产品托管人将采取必要、适当合理的措施确保产品资产估值的准确性、及时性。当产品单位净值出现错误时，产品管理人应当立即予以纠正，并采取合理的措施防止损失进一步扩大。由于证券交易所、期货交易所、第三方估值机构、登记机构等发送数据错误等非理财产品管理人和托管人原因，或由于其它不可抗力原因，产品管理人和产品托管人虽然已采取必要、适当、合理的措施进行检查，但是未能发现该错误的，由此造成的产品估值错误，产品管理人和产品托管人免除赔偿责任。但产品管理人和产品托管人应当积极采取必要的措施消除由此造成的影响。</w:t>
      </w:r>
    </w:p>
    <w:p>
      <w:pPr>
        <w:numPr>
          <w:ilvl w:val="0"/>
          <w:numId w:val="24"/>
        </w:numPr>
        <w:tabs>
          <w:tab w:val="left" w:pos="993"/>
        </w:tabs>
        <w:ind w:left="0" w:firstLine="482" w:firstLineChars="200"/>
        <w:rPr>
          <w:rFonts w:ascii="楷体" w:hAnsi="楷体" w:eastAsia="楷体" w:cs="Calibri"/>
          <w:b/>
          <w:bCs/>
          <w:sz w:val="24"/>
          <w:szCs w:val="24"/>
        </w:rPr>
      </w:pPr>
      <w:r>
        <w:rPr>
          <w:rFonts w:hint="eastAsia" w:ascii="楷体" w:hAnsi="楷体" w:eastAsia="楷体" w:cs="Calibri"/>
          <w:b/>
          <w:bCs/>
          <w:sz w:val="24"/>
          <w:szCs w:val="24"/>
        </w:rPr>
        <w:t>暂停估值</w:t>
      </w:r>
    </w:p>
    <w:p>
      <w:pPr>
        <w:ind w:firstLine="480" w:firstLineChars="200"/>
        <w:rPr>
          <w:rFonts w:hint="eastAsia" w:ascii="楷体" w:hAnsi="楷体" w:eastAsia="楷体"/>
          <w:sz w:val="24"/>
          <w:szCs w:val="24"/>
        </w:rPr>
      </w:pPr>
      <w:r>
        <w:rPr>
          <w:rFonts w:hint="eastAsia" w:ascii="楷体" w:hAnsi="楷体" w:eastAsia="楷体"/>
          <w:sz w:val="24"/>
          <w:szCs w:val="24"/>
        </w:rPr>
        <w:t>理财产品投资所涉及的证券交易所遇法定节假日或其他原因暂停营业时，或因任何不可抗力致使无法准确评估资产价值时，可暂停估值。但估值条件恢复时，将按规定完成估值工作。</w:t>
      </w:r>
    </w:p>
    <w:p>
      <w:pPr>
        <w:numPr>
          <w:ilvl w:val="0"/>
          <w:numId w:val="14"/>
        </w:numPr>
        <w:tabs>
          <w:tab w:val="left" w:pos="1134"/>
        </w:tabs>
        <w:ind w:firstLine="562" w:firstLineChars="200"/>
        <w:rPr>
          <w:rFonts w:ascii="楷体" w:hAnsi="楷体" w:eastAsia="楷体"/>
          <w:b/>
          <w:sz w:val="28"/>
          <w:szCs w:val="28"/>
        </w:rPr>
      </w:pPr>
      <w:r>
        <w:rPr>
          <w:rFonts w:hint="eastAsia" w:ascii="楷体" w:hAnsi="楷体" w:eastAsia="楷体"/>
          <w:b/>
          <w:sz w:val="28"/>
          <w:szCs w:val="28"/>
        </w:rPr>
        <w:t>产品运作</w:t>
      </w:r>
    </w:p>
    <w:p>
      <w:pPr>
        <w:numPr>
          <w:ilvl w:val="0"/>
          <w:numId w:val="27"/>
        </w:numPr>
        <w:tabs>
          <w:tab w:val="left" w:pos="993"/>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申购份额的计算</w:t>
      </w:r>
    </w:p>
    <w:p>
      <w:pPr>
        <w:ind w:firstLine="480" w:firstLineChars="200"/>
        <w:rPr>
          <w:rFonts w:hint="eastAsia" w:ascii="楷体" w:hAnsi="楷体" w:eastAsia="楷体"/>
          <w:sz w:val="24"/>
          <w:szCs w:val="24"/>
        </w:rPr>
      </w:pPr>
      <w:r>
        <w:rPr>
          <w:rFonts w:hint="eastAsia" w:ascii="楷体" w:hAnsi="楷体" w:eastAsia="楷体"/>
          <w:sz w:val="24"/>
          <w:szCs w:val="24"/>
        </w:rPr>
        <w:t>申购份额=申购金额/申购开放日产品单位净值</w:t>
      </w:r>
    </w:p>
    <w:p>
      <w:pPr>
        <w:ind w:firstLine="480" w:firstLineChars="200"/>
        <w:rPr>
          <w:rFonts w:hint="eastAsia" w:ascii="楷体" w:hAnsi="楷体" w:eastAsia="楷体"/>
          <w:sz w:val="24"/>
          <w:szCs w:val="24"/>
        </w:rPr>
      </w:pPr>
      <w:r>
        <w:rPr>
          <w:rFonts w:hint="eastAsia" w:ascii="楷体" w:hAnsi="楷体" w:eastAsia="楷体"/>
          <w:sz w:val="24"/>
          <w:szCs w:val="24"/>
        </w:rPr>
        <w:t>申购份额以四舍五入的方法保留到小数点后两位</w:t>
      </w:r>
    </w:p>
    <w:p>
      <w:pPr>
        <w:numPr>
          <w:ilvl w:val="0"/>
          <w:numId w:val="27"/>
        </w:numPr>
        <w:tabs>
          <w:tab w:val="left" w:pos="993"/>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赎回金额的计算</w:t>
      </w:r>
    </w:p>
    <w:p>
      <w:pPr>
        <w:ind w:firstLine="480" w:firstLineChars="200"/>
        <w:rPr>
          <w:rFonts w:hint="eastAsia" w:ascii="楷体" w:hAnsi="楷体" w:eastAsia="楷体"/>
          <w:sz w:val="24"/>
          <w:szCs w:val="24"/>
        </w:rPr>
      </w:pPr>
      <w:r>
        <w:rPr>
          <w:rFonts w:hint="eastAsia" w:ascii="楷体" w:hAnsi="楷体" w:eastAsia="楷体"/>
          <w:sz w:val="24"/>
          <w:szCs w:val="24"/>
        </w:rPr>
        <w:t>赎回金额=赎回份额*赎回日前一工作日产品单位净值-超额业绩报酬（若有）</w:t>
      </w:r>
    </w:p>
    <w:p>
      <w:pPr>
        <w:ind w:firstLine="482" w:firstLineChars="200"/>
        <w:rPr>
          <w:rFonts w:hint="eastAsia" w:ascii="楷体" w:hAnsi="楷体" w:eastAsia="楷体"/>
          <w:b/>
          <w:bCs/>
          <w:sz w:val="24"/>
          <w:szCs w:val="24"/>
          <w:u w:val="single"/>
        </w:rPr>
      </w:pPr>
      <w:r>
        <w:rPr>
          <w:rFonts w:hint="eastAsia" w:ascii="楷体" w:hAnsi="楷体" w:eastAsia="楷体"/>
          <w:b/>
          <w:bCs/>
          <w:sz w:val="24"/>
          <w:szCs w:val="24"/>
          <w:u w:val="single"/>
        </w:rPr>
        <w:t>投资者持仓份额的产品净值可能含有未收取的超额业绩报酬，赎回兑付金额以实际入账金额为准。</w:t>
      </w:r>
    </w:p>
    <w:p>
      <w:pPr>
        <w:ind w:firstLine="480" w:firstLineChars="200"/>
        <w:rPr>
          <w:rFonts w:hint="eastAsia" w:ascii="楷体" w:hAnsi="楷体" w:eastAsia="楷体"/>
          <w:b/>
          <w:bCs/>
          <w:sz w:val="24"/>
          <w:szCs w:val="24"/>
          <w:u w:val="single"/>
        </w:rPr>
      </w:pPr>
      <w:r>
        <w:rPr>
          <w:rFonts w:hint="eastAsia" w:ascii="楷体" w:hAnsi="楷体" w:eastAsia="楷体"/>
          <w:sz w:val="24"/>
          <w:szCs w:val="24"/>
        </w:rPr>
        <w:t>赎回金额以四舍五入的方法保留到小数点后两位</w:t>
      </w:r>
    </w:p>
    <w:p>
      <w:pPr>
        <w:numPr>
          <w:ilvl w:val="0"/>
          <w:numId w:val="27"/>
        </w:numPr>
        <w:tabs>
          <w:tab w:val="left" w:pos="993"/>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计算示例</w:t>
      </w:r>
    </w:p>
    <w:p>
      <w:pPr>
        <w:tabs>
          <w:tab w:val="left" w:pos="993"/>
        </w:tabs>
        <w:ind w:left="480"/>
        <w:rPr>
          <w:rFonts w:hint="eastAsia" w:ascii="楷体" w:hAnsi="楷体" w:eastAsia="楷体" w:cs="Calibri"/>
          <w:b/>
          <w:sz w:val="24"/>
          <w:szCs w:val="24"/>
          <w:u w:val="single"/>
        </w:rPr>
      </w:pPr>
      <w:r>
        <w:rPr>
          <w:rFonts w:hint="eastAsia" w:ascii="楷体" w:hAnsi="楷体" w:eastAsia="楷体" w:cs="Calibri"/>
          <w:b/>
          <w:sz w:val="24"/>
          <w:szCs w:val="24"/>
          <w:u w:val="single"/>
        </w:rPr>
        <w:t>以下示例均为假设情况，不代表本产品实际投资业绩。</w:t>
      </w:r>
    </w:p>
    <w:p>
      <w:pPr>
        <w:tabs>
          <w:tab w:val="left" w:pos="993"/>
        </w:tabs>
        <w:ind w:firstLine="482" w:firstLineChars="200"/>
        <w:rPr>
          <w:rFonts w:hint="eastAsia" w:ascii="楷体" w:hAnsi="楷体" w:eastAsia="楷体" w:cs="Calibri"/>
          <w:b/>
          <w:sz w:val="24"/>
          <w:szCs w:val="24"/>
          <w:u w:val="single"/>
        </w:rPr>
      </w:pPr>
      <w:r>
        <w:rPr>
          <w:rFonts w:hint="eastAsia" w:ascii="楷体" w:hAnsi="楷体" w:eastAsia="楷体" w:cs="Calibri"/>
          <w:b/>
          <w:sz w:val="24"/>
          <w:szCs w:val="24"/>
          <w:u w:val="single"/>
        </w:rPr>
        <w:t>假设客户申购本产品</w:t>
      </w:r>
      <w:r>
        <w:rPr>
          <w:rFonts w:hint="eastAsia" w:ascii="楷体" w:hAnsi="楷体" w:eastAsia="楷体" w:cs="Calibri"/>
          <w:b/>
          <w:sz w:val="24"/>
          <w:szCs w:val="24"/>
          <w:u w:val="single"/>
          <w:lang w:val="en-US" w:eastAsia="zh-CN"/>
        </w:rPr>
        <w:t>Z</w:t>
      </w:r>
      <w:r>
        <w:rPr>
          <w:rFonts w:hint="eastAsia" w:ascii="楷体" w:hAnsi="楷体" w:eastAsia="楷体" w:cs="Calibri"/>
          <w:b/>
          <w:sz w:val="24"/>
          <w:szCs w:val="24"/>
          <w:u w:val="single"/>
        </w:rPr>
        <w:t>份额1万元，公布的182天业绩比较基准</w:t>
      </w:r>
      <w:r>
        <w:rPr>
          <w:rFonts w:hint="eastAsia" w:ascii="楷体" w:hAnsi="楷体" w:eastAsia="楷体" w:cs="Calibri"/>
          <w:b/>
          <w:sz w:val="24"/>
          <w:szCs w:val="24"/>
          <w:u w:val="single"/>
          <w:lang w:val="en-US" w:eastAsia="zh-CN"/>
        </w:rPr>
        <w:t>为2.20%-3.00%</w:t>
      </w:r>
      <w:r>
        <w:rPr>
          <w:rFonts w:hint="eastAsia" w:ascii="楷体" w:hAnsi="楷体" w:eastAsia="楷体" w:cs="Calibri"/>
          <w:b/>
          <w:sz w:val="24"/>
          <w:szCs w:val="24"/>
          <w:u w:val="single"/>
        </w:rPr>
        <w:t>，</w:t>
      </w:r>
      <w:r>
        <w:rPr>
          <w:rFonts w:hint="eastAsia" w:ascii="楷体" w:hAnsi="楷体" w:eastAsia="楷体" w:cs="Calibri"/>
          <w:b/>
          <w:sz w:val="24"/>
          <w:szCs w:val="24"/>
          <w:u w:val="single"/>
          <w:lang w:val="en-US" w:eastAsia="zh-CN"/>
        </w:rPr>
        <w:t>份额业绩比较基准下限+（业绩比较基准上限-业绩比较基准下限）*50%=2.60%，</w:t>
      </w:r>
      <w:r>
        <w:rPr>
          <w:rFonts w:hint="eastAsia" w:ascii="楷体" w:hAnsi="楷体" w:eastAsia="楷体" w:cs="Calibri"/>
          <w:b/>
          <w:sz w:val="24"/>
          <w:szCs w:val="24"/>
          <w:u w:val="single"/>
        </w:rPr>
        <w:t>客户份额确认时的产品净值为1.034613，客户确认份额为9665.45份。客户份额运作满182天自动赎回退出，根据赎回退出日的产品单位净值计算有以下4种情形。</w:t>
      </w:r>
    </w:p>
    <w:p>
      <w:pPr>
        <w:numPr>
          <w:ilvl w:val="0"/>
          <w:numId w:val="28"/>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情景一</w:t>
      </w:r>
    </w:p>
    <w:p>
      <w:pPr>
        <w:ind w:firstLine="424" w:firstLineChars="177"/>
        <w:rPr>
          <w:rFonts w:ascii="楷体" w:hAnsi="楷体" w:eastAsia="楷体" w:cs="Calibri"/>
          <w:sz w:val="24"/>
          <w:szCs w:val="24"/>
        </w:rPr>
      </w:pPr>
      <w:r>
        <w:rPr>
          <w:rFonts w:hint="eastAsia" w:ascii="楷体" w:hAnsi="楷体" w:eastAsia="楷体" w:cs="Calibri"/>
          <w:sz w:val="24"/>
          <w:szCs w:val="24"/>
        </w:rPr>
        <w:t>假设赎回退</w:t>
      </w:r>
      <w:r>
        <w:rPr>
          <w:rFonts w:hint="eastAsia" w:ascii="楷体" w:hAnsi="楷体" w:eastAsia="楷体" w:cs="Calibri"/>
          <w:sz w:val="24"/>
          <w:szCs w:val="24"/>
          <w:lang w:val="en-US" w:eastAsia="zh-CN"/>
        </w:rPr>
        <w:t>出时产品单位净值为1.063889，客户份额持有期间净值增长率为5.67%，则管理人对超出年化2.20%的部分收取30%的超额业绩报酬，并对超出年化2.60%的部分收取50%的超额业绩报酬，客户实际收益</w:t>
      </w:r>
      <w:r>
        <w:rPr>
          <w:rFonts w:hint="eastAsia" w:ascii="楷体" w:hAnsi="楷体" w:eastAsia="楷体" w:cs="Calibri"/>
          <w:sz w:val="24"/>
          <w:szCs w:val="24"/>
        </w:rPr>
        <w:t>率为</w:t>
      </w:r>
      <w:r>
        <w:rPr>
          <w:rFonts w:hint="eastAsia" w:ascii="楷体" w:hAnsi="楷体" w:eastAsia="楷体" w:cs="Calibri"/>
          <w:sz w:val="24"/>
          <w:szCs w:val="24"/>
          <w:lang w:val="en-US" w:eastAsia="zh-CN"/>
        </w:rPr>
        <w:t>4.02%</w:t>
      </w:r>
      <w:r>
        <w:rPr>
          <w:rFonts w:hint="eastAsia" w:ascii="楷体" w:hAnsi="楷体" w:eastAsia="楷体" w:cs="Calibri"/>
          <w:sz w:val="24"/>
          <w:szCs w:val="24"/>
        </w:rPr>
        <w:t>。</w:t>
      </w:r>
    </w:p>
    <w:p>
      <w:pPr>
        <w:tabs>
          <w:tab w:val="left" w:pos="728"/>
        </w:tabs>
        <w:ind w:left="420"/>
        <w:rPr>
          <w:rFonts w:ascii="楷体" w:hAnsi="楷体" w:eastAsia="楷体" w:cs="Calibri"/>
          <w:sz w:val="24"/>
          <w:szCs w:val="24"/>
        </w:rPr>
      </w:pPr>
      <w:r>
        <w:rPr>
          <w:rFonts w:hint="eastAsia" w:ascii="楷体" w:hAnsi="楷体" w:eastAsia="楷体" w:cs="Calibri"/>
          <w:sz w:val="24"/>
          <w:szCs w:val="24"/>
        </w:rPr>
        <w:t>2</w:t>
      </w:r>
      <w:r>
        <w:rPr>
          <w:rFonts w:ascii="楷体" w:hAnsi="楷体" w:eastAsia="楷体" w:cs="Calibri"/>
          <w:sz w:val="24"/>
          <w:szCs w:val="24"/>
        </w:rPr>
        <w:t>.情景二</w:t>
      </w:r>
    </w:p>
    <w:p>
      <w:pPr>
        <w:tabs>
          <w:tab w:val="left" w:pos="728"/>
        </w:tabs>
        <w:ind w:firstLine="424" w:firstLineChars="177"/>
        <w:rPr>
          <w:rFonts w:ascii="楷体" w:hAnsi="楷体" w:eastAsia="楷体" w:cs="Calibri"/>
          <w:sz w:val="24"/>
          <w:szCs w:val="24"/>
        </w:rPr>
      </w:pPr>
      <w:r>
        <w:rPr>
          <w:rFonts w:hint="eastAsia" w:ascii="楷体" w:hAnsi="楷体" w:eastAsia="楷体" w:cs="Calibri"/>
          <w:sz w:val="24"/>
          <w:szCs w:val="24"/>
        </w:rPr>
        <w:t>假设赎回退出时产品单位净值为1.047521，客户份额持有期间净值增长率为</w:t>
      </w:r>
      <w:r>
        <w:rPr>
          <w:rFonts w:hint="eastAsia" w:ascii="楷体" w:hAnsi="楷体" w:eastAsia="楷体" w:cs="Calibri"/>
          <w:sz w:val="24"/>
          <w:szCs w:val="24"/>
          <w:lang w:val="en-US" w:eastAsia="zh-CN"/>
        </w:rPr>
        <w:t>2.50</w:t>
      </w:r>
      <w:r>
        <w:rPr>
          <w:rFonts w:hint="eastAsia" w:ascii="楷体" w:hAnsi="楷体" w:eastAsia="楷体" w:cs="Calibri"/>
          <w:sz w:val="24"/>
          <w:szCs w:val="24"/>
        </w:rPr>
        <w:t>%，</w:t>
      </w:r>
      <w:r>
        <w:rPr>
          <w:rFonts w:hint="eastAsia" w:ascii="楷体" w:hAnsi="楷体" w:eastAsia="楷体" w:cs="Calibri"/>
          <w:sz w:val="24"/>
          <w:szCs w:val="24"/>
          <w:lang w:val="en-US" w:eastAsia="zh-CN"/>
        </w:rPr>
        <w:t>则管理人对超出年化2.20%的部分收取30%的超额业绩报酬，客户实际收益</w:t>
      </w:r>
      <w:r>
        <w:rPr>
          <w:rFonts w:hint="eastAsia" w:ascii="楷体" w:hAnsi="楷体" w:eastAsia="楷体" w:cs="Calibri"/>
          <w:sz w:val="24"/>
          <w:szCs w:val="24"/>
        </w:rPr>
        <w:t>率为</w:t>
      </w:r>
      <w:r>
        <w:rPr>
          <w:rFonts w:hint="eastAsia" w:ascii="楷体" w:hAnsi="楷体" w:eastAsia="楷体" w:cs="Calibri"/>
          <w:sz w:val="24"/>
          <w:szCs w:val="24"/>
          <w:lang w:val="en-US" w:eastAsia="zh-CN"/>
        </w:rPr>
        <w:t>2.41%</w:t>
      </w:r>
      <w:r>
        <w:rPr>
          <w:rFonts w:hint="eastAsia" w:ascii="楷体" w:hAnsi="楷体" w:eastAsia="楷体" w:cs="Calibri"/>
          <w:sz w:val="24"/>
          <w:szCs w:val="24"/>
        </w:rPr>
        <w:t>。</w:t>
      </w:r>
    </w:p>
    <w:p>
      <w:pPr>
        <w:autoSpaceDE w:val="0"/>
        <w:autoSpaceDN w:val="0"/>
        <w:adjustRightInd w:val="0"/>
        <w:ind w:firstLine="424" w:firstLineChars="177"/>
        <w:jc w:val="left"/>
        <w:rPr>
          <w:rFonts w:hint="eastAsia" w:ascii="楷体" w:hAnsi="楷体" w:eastAsia="楷体" w:cs="Calibri"/>
          <w:sz w:val="24"/>
          <w:szCs w:val="24"/>
        </w:rPr>
      </w:pPr>
      <w:r>
        <w:rPr>
          <w:rFonts w:hint="eastAsia" w:ascii="楷体" w:hAnsi="楷体" w:eastAsia="楷体" w:cs="Calibri"/>
          <w:sz w:val="24"/>
          <w:szCs w:val="24"/>
        </w:rPr>
        <w:t>3</w:t>
      </w:r>
      <w:r>
        <w:rPr>
          <w:rFonts w:ascii="楷体" w:hAnsi="楷体" w:eastAsia="楷体" w:cs="Calibri"/>
          <w:sz w:val="24"/>
          <w:szCs w:val="24"/>
        </w:rPr>
        <w:t>.</w:t>
      </w:r>
      <w:r>
        <w:rPr>
          <w:rFonts w:hint="eastAsia" w:ascii="楷体" w:hAnsi="楷体" w:eastAsia="楷体" w:cs="Calibri"/>
          <w:sz w:val="24"/>
          <w:szCs w:val="24"/>
        </w:rPr>
        <w:t>情景三</w:t>
      </w:r>
    </w:p>
    <w:p>
      <w:pPr>
        <w:tabs>
          <w:tab w:val="left" w:pos="728"/>
        </w:tabs>
        <w:ind w:firstLine="424" w:firstLineChars="177"/>
        <w:rPr>
          <w:rFonts w:hint="eastAsia" w:ascii="楷体" w:hAnsi="楷体" w:eastAsia="楷体" w:cs="Calibri"/>
          <w:sz w:val="24"/>
          <w:szCs w:val="24"/>
        </w:rPr>
      </w:pPr>
      <w:r>
        <w:rPr>
          <w:rFonts w:hint="eastAsia" w:ascii="楷体" w:hAnsi="楷体" w:eastAsia="楷体" w:cs="Calibri"/>
          <w:sz w:val="24"/>
          <w:szCs w:val="24"/>
        </w:rPr>
        <w:t>假设赎回退出时产品单位净值为1.045845，客户份额持有期间净值增长率为</w:t>
      </w:r>
      <w:r>
        <w:rPr>
          <w:rFonts w:hint="eastAsia" w:ascii="楷体" w:hAnsi="楷体" w:eastAsia="楷体" w:cs="Calibri"/>
          <w:sz w:val="24"/>
          <w:szCs w:val="24"/>
          <w:lang w:val="en-US" w:eastAsia="zh-CN"/>
        </w:rPr>
        <w:t>2.18</w:t>
      </w:r>
      <w:r>
        <w:rPr>
          <w:rFonts w:hint="eastAsia" w:ascii="楷体" w:hAnsi="楷体" w:eastAsia="楷体" w:cs="Calibri"/>
          <w:sz w:val="24"/>
          <w:szCs w:val="24"/>
        </w:rPr>
        <w:t>%，客户按赎回退出时产品单位净值兑付，客户实际收益为</w:t>
      </w:r>
      <w:r>
        <w:rPr>
          <w:rFonts w:hint="eastAsia" w:ascii="楷体" w:hAnsi="楷体" w:eastAsia="楷体" w:cs="Calibri"/>
          <w:sz w:val="24"/>
          <w:szCs w:val="24"/>
          <w:lang w:val="en-US" w:eastAsia="zh-CN"/>
        </w:rPr>
        <w:t>2.18</w:t>
      </w:r>
      <w:r>
        <w:rPr>
          <w:rFonts w:hint="eastAsia" w:ascii="楷体" w:hAnsi="楷体" w:eastAsia="楷体" w:cs="Calibri"/>
          <w:sz w:val="24"/>
          <w:szCs w:val="24"/>
        </w:rPr>
        <w:t>%，管理人无</w:t>
      </w:r>
      <w:r>
        <w:rPr>
          <w:rFonts w:hint="eastAsia" w:ascii="楷体" w:hAnsi="楷体" w:eastAsia="楷体" w:cs="Calibri"/>
          <w:sz w:val="24"/>
          <w:szCs w:val="24"/>
          <w:lang w:val="en-US" w:eastAsia="zh-CN"/>
        </w:rPr>
        <w:t>超额业绩报酬</w:t>
      </w:r>
      <w:r>
        <w:rPr>
          <w:rFonts w:hint="eastAsia" w:ascii="楷体" w:hAnsi="楷体" w:eastAsia="楷体" w:cs="Calibri"/>
          <w:sz w:val="24"/>
          <w:szCs w:val="24"/>
        </w:rPr>
        <w:t>。</w:t>
      </w:r>
    </w:p>
    <w:p>
      <w:pPr>
        <w:autoSpaceDE w:val="0"/>
        <w:autoSpaceDN w:val="0"/>
        <w:adjustRightInd w:val="0"/>
        <w:ind w:firstLine="424" w:firstLineChars="177"/>
        <w:jc w:val="left"/>
        <w:rPr>
          <w:rFonts w:hint="eastAsia" w:ascii="楷体" w:hAnsi="楷体" w:eastAsia="楷体" w:cs="Calibri"/>
          <w:sz w:val="24"/>
          <w:szCs w:val="24"/>
        </w:rPr>
      </w:pPr>
      <w:r>
        <w:rPr>
          <w:rFonts w:hint="eastAsia" w:ascii="楷体" w:hAnsi="楷体" w:eastAsia="楷体" w:cs="Calibri"/>
          <w:sz w:val="24"/>
          <w:szCs w:val="24"/>
        </w:rPr>
        <w:t>4</w:t>
      </w:r>
      <w:r>
        <w:rPr>
          <w:rFonts w:ascii="楷体" w:hAnsi="楷体" w:eastAsia="楷体" w:cs="Calibri"/>
          <w:sz w:val="24"/>
          <w:szCs w:val="24"/>
        </w:rPr>
        <w:t>.</w:t>
      </w:r>
      <w:r>
        <w:rPr>
          <w:rFonts w:hint="eastAsia" w:ascii="楷体" w:hAnsi="楷体" w:eastAsia="楷体" w:cs="Calibri"/>
          <w:sz w:val="24"/>
          <w:szCs w:val="24"/>
        </w:rPr>
        <w:t>情景四</w:t>
      </w:r>
    </w:p>
    <w:p>
      <w:pPr>
        <w:tabs>
          <w:tab w:val="left" w:pos="728"/>
        </w:tabs>
        <w:ind w:firstLine="424" w:firstLineChars="177"/>
        <w:rPr>
          <w:rFonts w:hint="eastAsia" w:ascii="楷体" w:hAnsi="楷体" w:eastAsia="楷体" w:cs="Calibri"/>
          <w:sz w:val="24"/>
          <w:szCs w:val="24"/>
        </w:rPr>
      </w:pPr>
      <w:r>
        <w:rPr>
          <w:rFonts w:hint="eastAsia" w:ascii="楷体" w:hAnsi="楷体" w:eastAsia="楷体" w:cs="Calibri"/>
          <w:sz w:val="24"/>
          <w:szCs w:val="24"/>
        </w:rPr>
        <w:t>假设赎回退出时产品净值为1.034513，客户份额持有期限净值增长率为-0.02%，客户按赎回退出日产品单位净值兑付，客户无收益，实际发生本金损失0.02%，管理人无</w:t>
      </w:r>
      <w:r>
        <w:rPr>
          <w:rFonts w:hint="eastAsia" w:ascii="楷体" w:hAnsi="楷体" w:eastAsia="楷体" w:cs="Calibri"/>
          <w:sz w:val="24"/>
          <w:szCs w:val="24"/>
          <w:lang w:val="en-US" w:eastAsia="zh-CN"/>
        </w:rPr>
        <w:t>超额业绩报酬</w:t>
      </w:r>
      <w:r>
        <w:rPr>
          <w:rFonts w:hint="eastAsia" w:ascii="楷体" w:hAnsi="楷体" w:eastAsia="楷体" w:cs="Calibri"/>
          <w:sz w:val="24"/>
          <w:szCs w:val="24"/>
        </w:rPr>
        <w:t>。</w:t>
      </w:r>
    </w:p>
    <w:p>
      <w:pPr>
        <w:ind w:firstLine="424" w:firstLineChars="176"/>
        <w:rPr>
          <w:rFonts w:hint="eastAsia" w:ascii="楷体" w:hAnsi="楷体" w:eastAsia="楷体" w:cs="Calibri"/>
          <w:sz w:val="24"/>
          <w:szCs w:val="24"/>
        </w:rPr>
      </w:pPr>
      <w:r>
        <w:rPr>
          <w:rFonts w:hint="eastAsia" w:ascii="楷体" w:hAnsi="楷体" w:eastAsia="楷体"/>
          <w:b/>
          <w:sz w:val="24"/>
          <w:szCs w:val="24"/>
          <w:u w:val="single"/>
        </w:rPr>
        <w:t>最不利的情形下，投资者可能损失100%本金。</w:t>
      </w:r>
    </w:p>
    <w:p>
      <w:pPr>
        <w:ind w:firstLine="426" w:firstLineChars="177"/>
        <w:rPr>
          <w:rFonts w:hint="eastAsia" w:ascii="楷体" w:hAnsi="楷体" w:eastAsia="楷体"/>
          <w:sz w:val="24"/>
          <w:szCs w:val="24"/>
        </w:rPr>
      </w:pPr>
      <w:r>
        <w:rPr>
          <w:rFonts w:hint="eastAsia" w:ascii="楷体" w:hAnsi="楷体" w:eastAsia="楷体"/>
          <w:b/>
          <w:sz w:val="24"/>
          <w:szCs w:val="24"/>
          <w:u w:val="single"/>
        </w:rPr>
        <w:t>上述情况假设仅用于向投资者示例收益计算方法之用，并不代表管理人对实际投资情况的预期判断，也不代表以上所有情形或某一情形一定会发生，或管理人认为发生的可能性很大。投资者获得的最终收益以产品实际运作表现及管理人实际支付为准。</w:t>
      </w:r>
    </w:p>
    <w:p>
      <w:pPr>
        <w:tabs>
          <w:tab w:val="left" w:pos="1134"/>
        </w:tabs>
        <w:ind w:left="420" w:leftChars="200"/>
        <w:rPr>
          <w:rFonts w:hint="eastAsia" w:ascii="楷体" w:hAnsi="楷体" w:eastAsia="楷体"/>
          <w:b/>
          <w:sz w:val="28"/>
          <w:szCs w:val="28"/>
        </w:rPr>
      </w:pPr>
      <w:r>
        <w:rPr>
          <w:rFonts w:hint="eastAsia" w:ascii="楷体" w:hAnsi="楷体" w:eastAsia="楷体"/>
          <w:b/>
          <w:sz w:val="28"/>
          <w:szCs w:val="28"/>
        </w:rPr>
        <w:t>十一、理财产品的终止与清算</w:t>
      </w:r>
    </w:p>
    <w:p>
      <w:pPr>
        <w:numPr>
          <w:ilvl w:val="0"/>
          <w:numId w:val="29"/>
        </w:numPr>
        <w:tabs>
          <w:tab w:val="left" w:pos="993"/>
        </w:tabs>
        <w:ind w:left="0" w:firstLine="482" w:firstLineChars="200"/>
        <w:outlineLvl w:val="2"/>
        <w:rPr>
          <w:rFonts w:hint="eastAsia" w:ascii="楷体" w:hAnsi="楷体" w:eastAsia="楷体" w:cs="Calibri"/>
          <w:b/>
          <w:sz w:val="24"/>
          <w:szCs w:val="24"/>
        </w:rPr>
      </w:pPr>
      <w:r>
        <w:rPr>
          <w:rFonts w:hint="eastAsia" w:ascii="楷体" w:hAnsi="楷体" w:eastAsia="楷体" w:cs="Calibri"/>
          <w:b/>
          <w:sz w:val="24"/>
          <w:szCs w:val="24"/>
        </w:rPr>
        <w:t>理财产品的终止</w:t>
      </w:r>
    </w:p>
    <w:p>
      <w:pPr>
        <w:numPr>
          <w:ilvl w:val="0"/>
          <w:numId w:val="30"/>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提前终止</w:t>
      </w:r>
    </w:p>
    <w:p>
      <w:pPr>
        <w:ind w:firstLine="480" w:firstLineChars="200"/>
        <w:rPr>
          <w:rFonts w:hint="eastAsia" w:ascii="楷体" w:hAnsi="楷体" w:eastAsia="楷体"/>
          <w:sz w:val="24"/>
          <w:szCs w:val="24"/>
        </w:rPr>
      </w:pPr>
      <w:r>
        <w:rPr>
          <w:rFonts w:hint="eastAsia" w:ascii="楷体" w:hAnsi="楷体" w:eastAsia="楷体"/>
          <w:sz w:val="24"/>
          <w:szCs w:val="24"/>
        </w:rPr>
        <w:t>在理财产品投资运作期间内，投资者无权要求提前终止该理财产品。在理财产品投资运作期间内，当出现下列情形之一时，产品管理人有权部分或全部终止本产品：</w:t>
      </w:r>
    </w:p>
    <w:p>
      <w:pPr>
        <w:numPr>
          <w:ilvl w:val="0"/>
          <w:numId w:val="31"/>
        </w:numPr>
        <w:tabs>
          <w:tab w:val="left" w:pos="1092"/>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因不可抗力原因导致理财产品无法继续运作</w:t>
      </w:r>
      <w:r>
        <w:rPr>
          <w:rFonts w:hint="eastAsia" w:ascii="楷体" w:hAnsi="楷体" w:eastAsia="楷体" w:cs="Calibri"/>
          <w:sz w:val="24"/>
          <w:szCs w:val="24"/>
          <w:lang w:eastAsia="zh-CN"/>
        </w:rPr>
        <w:t>；</w:t>
      </w:r>
    </w:p>
    <w:p>
      <w:pPr>
        <w:numPr>
          <w:ilvl w:val="0"/>
          <w:numId w:val="31"/>
        </w:numPr>
        <w:tabs>
          <w:tab w:val="left" w:pos="1092"/>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因法律法规变化或国家金融政策调整、紧急措施出台影响产品继续正常运作</w:t>
      </w:r>
      <w:r>
        <w:rPr>
          <w:rFonts w:hint="eastAsia" w:ascii="楷体" w:hAnsi="楷体" w:eastAsia="楷体" w:cs="Calibri"/>
          <w:sz w:val="24"/>
          <w:szCs w:val="24"/>
          <w:lang w:eastAsia="zh-CN"/>
        </w:rPr>
        <w:t>；</w:t>
      </w:r>
    </w:p>
    <w:p>
      <w:pPr>
        <w:numPr>
          <w:ilvl w:val="0"/>
          <w:numId w:val="31"/>
        </w:numPr>
        <w:tabs>
          <w:tab w:val="left" w:pos="1092"/>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法律法规规定或监管部门认定的其他情形。</w:t>
      </w:r>
    </w:p>
    <w:p>
      <w:pPr>
        <w:numPr>
          <w:ilvl w:val="0"/>
          <w:numId w:val="0"/>
        </w:numPr>
        <w:tabs>
          <w:tab w:val="left" w:pos="1092"/>
        </w:tabs>
        <w:ind w:firstLine="480" w:firstLineChars="200"/>
        <w:rPr>
          <w:rFonts w:hint="eastAsia" w:ascii="楷体" w:hAnsi="楷体" w:eastAsia="楷体" w:cs="Calibri"/>
          <w:sz w:val="24"/>
          <w:szCs w:val="24"/>
        </w:rPr>
      </w:pPr>
      <w:r>
        <w:rPr>
          <w:rFonts w:hint="eastAsia" w:ascii="楷体" w:hAnsi="楷体" w:eastAsia="楷体"/>
          <w:sz w:val="24"/>
          <w:szCs w:val="24"/>
          <w:lang w:val="en-US" w:eastAsia="zh-CN"/>
        </w:rPr>
        <w:t>理财产品不因投资者死亡、丧失民事行为能力、破产等原因而终止。投资者因各种原因无法继续履行合同的，投资者的法定继承人、承继人、指定受益人或继任管理人等合法主体承担原投资者在本理财产品合同中相应的全部权利与义务。</w:t>
      </w:r>
    </w:p>
    <w:p>
      <w:pPr>
        <w:ind w:firstLine="480" w:firstLineChars="200"/>
        <w:rPr>
          <w:rFonts w:hint="eastAsia" w:ascii="楷体" w:hAnsi="楷体" w:eastAsia="楷体"/>
          <w:sz w:val="24"/>
          <w:szCs w:val="24"/>
        </w:rPr>
      </w:pPr>
      <w:r>
        <w:rPr>
          <w:rFonts w:hint="eastAsia" w:ascii="楷体" w:hAnsi="楷体" w:eastAsia="楷体"/>
          <w:sz w:val="24"/>
          <w:szCs w:val="24"/>
        </w:rPr>
        <w:t>如理财产品管理人提前终止本理财产品，将至少提前</w:t>
      </w:r>
      <w:r>
        <w:rPr>
          <w:rFonts w:ascii="楷体" w:hAnsi="楷体" w:eastAsia="楷体"/>
          <w:sz w:val="24"/>
          <w:szCs w:val="24"/>
        </w:rPr>
        <w:t>2</w:t>
      </w:r>
      <w:r>
        <w:rPr>
          <w:rFonts w:hint="eastAsia" w:ascii="楷体" w:hAnsi="楷体" w:eastAsia="楷体"/>
          <w:sz w:val="24"/>
          <w:szCs w:val="24"/>
        </w:rPr>
        <w:t>个工作日（含）按本理财产品说明书约定的信息披露方式予以披露。</w:t>
      </w:r>
    </w:p>
    <w:p>
      <w:pPr>
        <w:numPr>
          <w:ilvl w:val="0"/>
          <w:numId w:val="30"/>
        </w:numPr>
        <w:tabs>
          <w:tab w:val="left" w:pos="728"/>
        </w:tabs>
        <w:ind w:left="0" w:firstLine="480" w:firstLineChars="200"/>
        <w:rPr>
          <w:rFonts w:hint="eastAsia" w:ascii="楷体" w:hAnsi="楷体" w:eastAsia="楷体" w:cs="Calibri"/>
          <w:b w:val="0"/>
          <w:color w:val="auto"/>
          <w:sz w:val="24"/>
          <w:szCs w:val="24"/>
        </w:rPr>
      </w:pPr>
      <w:r>
        <w:rPr>
          <w:rFonts w:hint="eastAsia" w:ascii="楷体" w:hAnsi="楷体" w:eastAsia="楷体" w:cs="Calibri"/>
          <w:b w:val="0"/>
          <w:color w:val="auto"/>
          <w:sz w:val="24"/>
          <w:szCs w:val="24"/>
          <w:lang w:val="en-US" w:eastAsia="zh-CN"/>
        </w:rPr>
        <w:t>正常兑付</w:t>
      </w:r>
    </w:p>
    <w:p>
      <w:pPr>
        <w:ind w:firstLine="480" w:firstLineChars="200"/>
        <w:rPr>
          <w:rFonts w:hint="eastAsia" w:ascii="楷体" w:hAnsi="楷体" w:eastAsia="楷体"/>
          <w:sz w:val="24"/>
          <w:szCs w:val="24"/>
        </w:rPr>
      </w:pPr>
      <w:r>
        <w:rPr>
          <w:rFonts w:hint="eastAsia" w:ascii="楷体" w:hAnsi="楷体" w:eastAsia="楷体"/>
          <w:sz w:val="24"/>
          <w:szCs w:val="24"/>
          <w:lang w:val="en-US" w:eastAsia="zh-CN"/>
        </w:rPr>
        <w:t>投资者持有本理财产品至产品到期日，投资者的投资本金和收益（如有）将在产品到期后一次性支付。理财产品正常终止并兑付的，投资者的投资本金和收益（如有）将于产品到期日后5个工作日以内划至投资者指定账户，如遇法定节假日或公休日则相应顺延。产品到期日至资金实际到账日之间，投资者资金不计息。</w:t>
      </w:r>
    </w:p>
    <w:p>
      <w:pPr>
        <w:numPr>
          <w:ilvl w:val="0"/>
          <w:numId w:val="30"/>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★延期兑付</w:t>
      </w:r>
    </w:p>
    <w:p>
      <w:pPr>
        <w:ind w:firstLine="480" w:firstLineChars="200"/>
        <w:rPr>
          <w:rFonts w:hint="eastAsia" w:ascii="楷体" w:hAnsi="楷体" w:eastAsia="楷体"/>
          <w:sz w:val="24"/>
          <w:szCs w:val="24"/>
        </w:rPr>
      </w:pPr>
      <w:r>
        <w:rPr>
          <w:rFonts w:hint="eastAsia" w:ascii="楷体" w:hAnsi="楷体" w:eastAsia="楷体"/>
          <w:sz w:val="24"/>
          <w:szCs w:val="24"/>
        </w:rPr>
        <w:t>出现以下情况，产品管理人有权延长本理财产品的终止日：</w:t>
      </w:r>
    </w:p>
    <w:p>
      <w:pPr>
        <w:numPr>
          <w:ilvl w:val="0"/>
          <w:numId w:val="32"/>
        </w:numPr>
        <w:tabs>
          <w:tab w:val="left" w:pos="1092"/>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产品终止日遇非工作日则顺延至下一工作日，投资者清算资金到账日将相应调整；</w:t>
      </w:r>
    </w:p>
    <w:p>
      <w:pPr>
        <w:numPr>
          <w:ilvl w:val="0"/>
          <w:numId w:val="32"/>
        </w:numPr>
        <w:tabs>
          <w:tab w:val="left" w:pos="1092"/>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因不可抗力、市场发生重大变化等原因导致产品项下对应的投资标的无法及时变现、无法及时收回资金</w:t>
      </w:r>
      <w:r>
        <w:rPr>
          <w:rFonts w:hint="eastAsia" w:ascii="楷体" w:hAnsi="楷体" w:eastAsia="楷体" w:cs="Calibri"/>
          <w:sz w:val="24"/>
          <w:szCs w:val="24"/>
          <w:lang w:eastAsia="zh-CN"/>
        </w:rPr>
        <w:t>；</w:t>
      </w:r>
    </w:p>
    <w:p>
      <w:pPr>
        <w:numPr>
          <w:ilvl w:val="0"/>
          <w:numId w:val="32"/>
        </w:numPr>
        <w:tabs>
          <w:tab w:val="left" w:pos="1092"/>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法律法规规定或监管部门认定的其他情形。</w:t>
      </w:r>
    </w:p>
    <w:p>
      <w:pPr>
        <w:ind w:firstLine="480" w:firstLineChars="200"/>
        <w:rPr>
          <w:rFonts w:hint="eastAsia" w:ascii="楷体" w:hAnsi="楷体" w:eastAsia="楷体"/>
          <w:sz w:val="24"/>
          <w:szCs w:val="24"/>
        </w:rPr>
      </w:pPr>
      <w:r>
        <w:rPr>
          <w:rFonts w:hint="eastAsia" w:ascii="楷体" w:hAnsi="楷体" w:eastAsia="楷体"/>
          <w:sz w:val="24"/>
          <w:szCs w:val="24"/>
        </w:rPr>
        <w:t>产品管理人决定延期兑付的，将至少提前</w:t>
      </w:r>
      <w:r>
        <w:rPr>
          <w:rFonts w:ascii="楷体" w:hAnsi="楷体" w:eastAsia="楷体"/>
          <w:sz w:val="24"/>
          <w:szCs w:val="24"/>
        </w:rPr>
        <w:t>2</w:t>
      </w:r>
      <w:r>
        <w:rPr>
          <w:rFonts w:hint="eastAsia" w:ascii="楷体" w:hAnsi="楷体" w:eastAsia="楷体"/>
          <w:sz w:val="24"/>
          <w:szCs w:val="24"/>
        </w:rPr>
        <w:t>个工作日（含）按本理财产品说明书约定的信息披露方式予以披露。</w:t>
      </w:r>
    </w:p>
    <w:p>
      <w:pPr>
        <w:numPr>
          <w:ilvl w:val="0"/>
          <w:numId w:val="29"/>
        </w:numPr>
        <w:tabs>
          <w:tab w:val="left" w:pos="993"/>
        </w:tabs>
        <w:ind w:left="0" w:firstLine="482" w:firstLineChars="200"/>
        <w:outlineLvl w:val="2"/>
        <w:rPr>
          <w:rFonts w:hint="eastAsia" w:ascii="楷体" w:hAnsi="楷体" w:eastAsia="楷体" w:cs="Calibri"/>
          <w:b/>
          <w:sz w:val="24"/>
          <w:szCs w:val="24"/>
        </w:rPr>
      </w:pPr>
      <w:r>
        <w:rPr>
          <w:rFonts w:hint="eastAsia" w:ascii="楷体" w:hAnsi="楷体" w:eastAsia="楷体" w:cs="Calibri"/>
          <w:b/>
          <w:sz w:val="24"/>
          <w:szCs w:val="24"/>
        </w:rPr>
        <w:t>理财产品的清算</w:t>
      </w:r>
    </w:p>
    <w:p>
      <w:pPr>
        <w:numPr>
          <w:ilvl w:val="0"/>
          <w:numId w:val="33"/>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自本理财产品终止日至投资者理财本金及收益到账日之间为本理财产品的清算期。清算期不计算利息或投资收益。清算期原则上不得超过5个工作日，清算期超过5个工作日的，将依约定进行公告。</w:t>
      </w:r>
    </w:p>
    <w:p>
      <w:pPr>
        <w:numPr>
          <w:ilvl w:val="0"/>
          <w:numId w:val="33"/>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产品管理人将依照合同约定公布提前终止日并明确兑付日（一般为提前终止日之后的三个工作日以内）。产品管理人应将投资者理财资金于兑付日（遇节假日顺延）内划转至投资者资金账户。理财产品提前终止日（含当日）至兑付日之间，投资者资金不计息。</w:t>
      </w:r>
    </w:p>
    <w:p>
      <w:pPr>
        <w:tabs>
          <w:tab w:val="left" w:pos="1134"/>
        </w:tabs>
        <w:ind w:left="420" w:leftChars="200"/>
        <w:rPr>
          <w:rFonts w:ascii="楷体" w:hAnsi="楷体" w:eastAsia="楷体"/>
          <w:b/>
          <w:sz w:val="28"/>
          <w:szCs w:val="28"/>
        </w:rPr>
      </w:pPr>
      <w:r>
        <w:rPr>
          <w:rFonts w:hint="eastAsia" w:ascii="楷体" w:hAnsi="楷体" w:eastAsia="楷体"/>
          <w:b/>
          <w:sz w:val="28"/>
          <w:szCs w:val="28"/>
        </w:rPr>
        <w:t>十二、产品费用</w:t>
      </w:r>
    </w:p>
    <w:p>
      <w:pPr>
        <w:numPr>
          <w:ilvl w:val="0"/>
          <w:numId w:val="34"/>
        </w:numPr>
        <w:tabs>
          <w:tab w:val="left" w:pos="993"/>
        </w:tabs>
        <w:ind w:left="0" w:firstLine="482" w:firstLineChars="200"/>
        <w:rPr>
          <w:rFonts w:ascii="楷体" w:hAnsi="楷体" w:eastAsia="楷体" w:cs="Calibri"/>
          <w:b/>
          <w:bCs/>
          <w:sz w:val="24"/>
          <w:szCs w:val="24"/>
        </w:rPr>
      </w:pPr>
      <w:r>
        <w:rPr>
          <w:rFonts w:hint="eastAsia" w:ascii="楷体" w:hAnsi="楷体" w:eastAsia="楷体" w:cs="Calibri"/>
          <w:b/>
          <w:bCs/>
          <w:sz w:val="24"/>
          <w:szCs w:val="24"/>
        </w:rPr>
        <w:t>费用种类</w:t>
      </w:r>
    </w:p>
    <w:p>
      <w:pPr>
        <w:ind w:firstLine="480" w:firstLineChars="200"/>
        <w:rPr>
          <w:rFonts w:ascii="楷体" w:hAnsi="楷体" w:eastAsia="楷体"/>
          <w:sz w:val="24"/>
          <w:szCs w:val="24"/>
        </w:rPr>
      </w:pPr>
      <w:r>
        <w:rPr>
          <w:rFonts w:hint="eastAsia" w:ascii="楷体" w:hAnsi="楷体" w:eastAsia="楷体"/>
          <w:sz w:val="24"/>
          <w:szCs w:val="24"/>
        </w:rPr>
        <w:t>本产品费用包括托管费、销售服务费、投资管理费和超额业绩报酬（</w:t>
      </w:r>
      <w:r>
        <w:rPr>
          <w:rFonts w:hint="eastAsia" w:ascii="楷体" w:hAnsi="楷体" w:eastAsia="楷体"/>
          <w:sz w:val="24"/>
          <w:szCs w:val="24"/>
          <w:lang w:val="en-US" w:eastAsia="zh-CN"/>
        </w:rPr>
        <w:t>如</w:t>
      </w:r>
      <w:r>
        <w:rPr>
          <w:rFonts w:hint="eastAsia" w:ascii="楷体" w:hAnsi="楷体" w:eastAsia="楷体"/>
          <w:sz w:val="24"/>
          <w:szCs w:val="24"/>
        </w:rPr>
        <w:t>有）以及产品运作和清算中产生的其他费用等。</w:t>
      </w:r>
    </w:p>
    <w:p>
      <w:pPr>
        <w:numPr>
          <w:ilvl w:val="0"/>
          <w:numId w:val="34"/>
        </w:numPr>
        <w:tabs>
          <w:tab w:val="left" w:pos="993"/>
        </w:tabs>
        <w:ind w:left="0" w:firstLine="482" w:firstLineChars="200"/>
        <w:rPr>
          <w:rFonts w:ascii="楷体" w:hAnsi="楷体" w:eastAsia="楷体" w:cs="Calibri"/>
          <w:b/>
          <w:bCs/>
          <w:sz w:val="24"/>
          <w:szCs w:val="24"/>
        </w:rPr>
      </w:pPr>
      <w:r>
        <w:rPr>
          <w:rFonts w:hint="eastAsia" w:ascii="楷体" w:hAnsi="楷体" w:eastAsia="楷体" w:cs="Calibri"/>
          <w:b/>
          <w:bCs/>
          <w:sz w:val="24"/>
          <w:szCs w:val="24"/>
        </w:rPr>
        <w:t>计提方法、计提标准和支付方式</w:t>
      </w:r>
    </w:p>
    <w:p>
      <w:pPr>
        <w:numPr>
          <w:ilvl w:val="0"/>
          <w:numId w:val="35"/>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托管费：本产品的托管费每日计提，按季支付，由托管行收取。计算方法如下：</w:t>
      </w:r>
    </w:p>
    <w:p>
      <w:pPr>
        <w:ind w:firstLine="480" w:firstLineChars="200"/>
        <w:rPr>
          <w:rFonts w:hint="eastAsia" w:ascii="楷体" w:hAnsi="楷体" w:eastAsia="楷体"/>
          <w:sz w:val="24"/>
          <w:szCs w:val="24"/>
        </w:rPr>
      </w:pPr>
      <w:r>
        <w:rPr>
          <w:rFonts w:hint="eastAsia" w:ascii="楷体" w:hAnsi="楷体" w:eastAsia="楷体"/>
          <w:sz w:val="24"/>
          <w:szCs w:val="24"/>
        </w:rPr>
        <w:t>每日应计提的托管费＝前一日的产品资产净值×</w:t>
      </w:r>
      <w:r>
        <w:rPr>
          <w:rFonts w:hint="eastAsia" w:ascii="楷体" w:hAnsi="楷体" w:eastAsia="楷体"/>
          <w:sz w:val="24"/>
          <w:szCs w:val="24"/>
          <w:lang w:val="en-US" w:eastAsia="zh-CN"/>
        </w:rPr>
        <w:t>各份额</w:t>
      </w:r>
      <w:r>
        <w:rPr>
          <w:rFonts w:hint="eastAsia" w:ascii="楷体" w:hAnsi="楷体" w:eastAsia="楷体"/>
          <w:sz w:val="24"/>
          <w:szCs w:val="24"/>
        </w:rPr>
        <w:t>托管费率÷</w:t>
      </w:r>
      <w:r>
        <w:rPr>
          <w:rFonts w:ascii="楷体" w:hAnsi="楷体" w:eastAsia="楷体"/>
          <w:sz w:val="24"/>
          <w:szCs w:val="24"/>
        </w:rPr>
        <w:t>365</w:t>
      </w:r>
    </w:p>
    <w:p>
      <w:pPr>
        <w:numPr>
          <w:ilvl w:val="0"/>
          <w:numId w:val="0"/>
        </w:numPr>
        <w:tabs>
          <w:tab w:val="left" w:pos="728"/>
        </w:tabs>
        <w:ind w:firstLine="480" w:firstLineChars="200"/>
        <w:rPr>
          <w:rFonts w:hint="eastAsia" w:ascii="楷体" w:hAnsi="楷体" w:eastAsia="楷体" w:cs="Calibri"/>
          <w:sz w:val="24"/>
          <w:szCs w:val="24"/>
        </w:rPr>
      </w:pPr>
      <w:r>
        <w:rPr>
          <w:rFonts w:hint="eastAsia" w:ascii="楷体" w:hAnsi="楷体" w:eastAsia="楷体"/>
          <w:sz w:val="24"/>
          <w:szCs w:val="24"/>
        </w:rPr>
        <w:t>四舍五入保留至小数点后两位</w:t>
      </w:r>
    </w:p>
    <w:p>
      <w:pPr>
        <w:numPr>
          <w:ilvl w:val="0"/>
          <w:numId w:val="35"/>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销售服务费：本产品的销售服务费每日计提，按季支付，由销售机构收取。计算方法如下：</w:t>
      </w:r>
    </w:p>
    <w:p>
      <w:pPr>
        <w:ind w:firstLine="480" w:firstLineChars="200"/>
        <w:rPr>
          <w:rFonts w:hint="eastAsia" w:ascii="楷体" w:hAnsi="楷体" w:eastAsia="楷体"/>
          <w:sz w:val="24"/>
          <w:szCs w:val="24"/>
        </w:rPr>
      </w:pPr>
      <w:r>
        <w:rPr>
          <w:rFonts w:hint="eastAsia" w:ascii="楷体" w:hAnsi="楷体" w:eastAsia="楷体"/>
          <w:sz w:val="24"/>
          <w:szCs w:val="24"/>
        </w:rPr>
        <w:t>每日应计提的销售服务费＝前一日的产品资产净值×</w:t>
      </w:r>
      <w:r>
        <w:rPr>
          <w:rFonts w:hint="eastAsia" w:ascii="楷体" w:hAnsi="楷体" w:eastAsia="楷体"/>
          <w:sz w:val="24"/>
          <w:szCs w:val="24"/>
          <w:lang w:val="en-US" w:eastAsia="zh-CN"/>
        </w:rPr>
        <w:t>各份额</w:t>
      </w:r>
      <w:r>
        <w:rPr>
          <w:rFonts w:hint="eastAsia" w:ascii="楷体" w:hAnsi="楷体" w:eastAsia="楷体"/>
          <w:sz w:val="24"/>
          <w:szCs w:val="24"/>
        </w:rPr>
        <w:t>销售服务费率÷</w:t>
      </w:r>
      <w:r>
        <w:rPr>
          <w:rFonts w:ascii="楷体" w:hAnsi="楷体" w:eastAsia="楷体"/>
          <w:sz w:val="24"/>
          <w:szCs w:val="24"/>
        </w:rPr>
        <w:t>365</w:t>
      </w:r>
    </w:p>
    <w:p>
      <w:pPr>
        <w:ind w:firstLine="480" w:firstLineChars="200"/>
        <w:rPr>
          <w:rFonts w:hint="eastAsia" w:ascii="楷体" w:hAnsi="楷体" w:eastAsia="楷体" w:cs="Calibri"/>
          <w:sz w:val="24"/>
          <w:szCs w:val="24"/>
        </w:rPr>
      </w:pPr>
      <w:r>
        <w:rPr>
          <w:rFonts w:hint="eastAsia" w:ascii="楷体" w:hAnsi="楷体" w:eastAsia="楷体"/>
          <w:sz w:val="24"/>
          <w:szCs w:val="24"/>
        </w:rPr>
        <w:t>四舍五入保留至小数点后两位</w:t>
      </w:r>
    </w:p>
    <w:p>
      <w:pPr>
        <w:numPr>
          <w:ilvl w:val="0"/>
          <w:numId w:val="0"/>
        </w:numPr>
        <w:tabs>
          <w:tab w:val="left" w:pos="728"/>
        </w:tabs>
        <w:ind w:firstLine="480" w:firstLineChars="200"/>
        <w:rPr>
          <w:rFonts w:hint="eastAsia" w:ascii="楷体" w:hAnsi="楷体" w:eastAsia="楷体" w:cs="Calibri"/>
          <w:sz w:val="24"/>
          <w:szCs w:val="24"/>
        </w:rPr>
      </w:pPr>
      <w:r>
        <w:rPr>
          <w:rFonts w:hint="eastAsia" w:ascii="楷体" w:hAnsi="楷体" w:eastAsia="楷体" w:cs="Calibri"/>
          <w:sz w:val="24"/>
          <w:szCs w:val="24"/>
          <w:lang w:val="en-US" w:eastAsia="zh-CN"/>
        </w:rPr>
        <w:t>3.</w:t>
      </w:r>
      <w:r>
        <w:rPr>
          <w:rFonts w:hint="eastAsia" w:ascii="楷体" w:hAnsi="楷体" w:eastAsia="楷体" w:cs="Calibri"/>
          <w:sz w:val="24"/>
          <w:szCs w:val="24"/>
        </w:rPr>
        <w:t>投资管理费：本产品的投资管理费每日计提，按</w:t>
      </w:r>
      <w:r>
        <w:rPr>
          <w:rFonts w:hint="eastAsia" w:ascii="楷体" w:hAnsi="楷体" w:eastAsia="楷体" w:cs="Calibri"/>
          <w:sz w:val="24"/>
          <w:szCs w:val="24"/>
          <w:lang w:val="en-US" w:eastAsia="zh-CN"/>
        </w:rPr>
        <w:t>月</w:t>
      </w:r>
      <w:r>
        <w:rPr>
          <w:rFonts w:hint="eastAsia" w:ascii="楷体" w:hAnsi="楷体" w:eastAsia="楷体" w:cs="Calibri"/>
          <w:sz w:val="24"/>
          <w:szCs w:val="24"/>
        </w:rPr>
        <w:t>支付，由管理人收取。计算方法如下：</w:t>
      </w:r>
    </w:p>
    <w:p>
      <w:pPr>
        <w:ind w:firstLine="480" w:firstLineChars="200"/>
        <w:rPr>
          <w:rFonts w:hint="eastAsia" w:ascii="楷体" w:hAnsi="楷体" w:eastAsia="楷体"/>
          <w:sz w:val="24"/>
          <w:szCs w:val="24"/>
        </w:rPr>
      </w:pPr>
      <w:r>
        <w:rPr>
          <w:rFonts w:hint="eastAsia" w:ascii="楷体" w:hAnsi="楷体" w:eastAsia="楷体"/>
          <w:sz w:val="24"/>
          <w:szCs w:val="24"/>
        </w:rPr>
        <w:t>每日应计提的投资管理费＝前一日的产品资产净值×</w:t>
      </w:r>
      <w:r>
        <w:rPr>
          <w:rFonts w:hint="eastAsia" w:ascii="楷体" w:hAnsi="楷体" w:eastAsia="楷体"/>
          <w:sz w:val="24"/>
          <w:szCs w:val="24"/>
          <w:lang w:val="en-US" w:eastAsia="zh-CN"/>
        </w:rPr>
        <w:t>各份额</w:t>
      </w:r>
      <w:r>
        <w:rPr>
          <w:rFonts w:hint="eastAsia" w:ascii="楷体" w:hAnsi="楷体" w:eastAsia="楷体"/>
          <w:sz w:val="24"/>
          <w:szCs w:val="24"/>
        </w:rPr>
        <w:t>投资管理费率÷</w:t>
      </w:r>
      <w:r>
        <w:rPr>
          <w:rFonts w:ascii="楷体" w:hAnsi="楷体" w:eastAsia="楷体"/>
          <w:sz w:val="24"/>
          <w:szCs w:val="24"/>
        </w:rPr>
        <w:t>365</w:t>
      </w:r>
    </w:p>
    <w:p>
      <w:pPr>
        <w:ind w:firstLine="480" w:firstLineChars="200"/>
        <w:rPr>
          <w:rFonts w:ascii="楷体" w:hAnsi="楷体" w:eastAsia="楷体"/>
          <w:sz w:val="24"/>
          <w:szCs w:val="24"/>
        </w:rPr>
      </w:pPr>
      <w:r>
        <w:rPr>
          <w:rFonts w:hint="eastAsia" w:ascii="楷体" w:hAnsi="楷体" w:eastAsia="楷体"/>
          <w:sz w:val="24"/>
          <w:szCs w:val="24"/>
        </w:rPr>
        <w:t>四舍五入保留至小数点后两位</w:t>
      </w:r>
    </w:p>
    <w:p>
      <w:pPr>
        <w:tabs>
          <w:tab w:val="left" w:pos="728"/>
        </w:tabs>
        <w:ind w:firstLine="480" w:firstLineChars="200"/>
        <w:rPr>
          <w:rFonts w:hint="eastAsia" w:ascii="楷体" w:hAnsi="楷体" w:eastAsia="楷体"/>
          <w:sz w:val="24"/>
          <w:szCs w:val="24"/>
        </w:rPr>
      </w:pPr>
      <w:r>
        <w:rPr>
          <w:rFonts w:hint="eastAsia" w:ascii="楷体" w:hAnsi="楷体" w:eastAsia="楷体"/>
          <w:sz w:val="24"/>
          <w:szCs w:val="24"/>
        </w:rPr>
        <w:t>4.</w:t>
      </w:r>
      <w:r>
        <w:rPr>
          <w:rFonts w:hint="eastAsia" w:ascii="楷体" w:hAnsi="楷体" w:eastAsia="楷体" w:cs="Calibri"/>
          <w:sz w:val="24"/>
          <w:szCs w:val="24"/>
        </w:rPr>
        <w:t>超额业绩报酬</w:t>
      </w:r>
      <w:r>
        <w:rPr>
          <w:rFonts w:hint="eastAsia" w:ascii="楷体" w:hAnsi="楷体" w:eastAsia="楷体"/>
          <w:sz w:val="24"/>
          <w:szCs w:val="24"/>
        </w:rPr>
        <w:t>：客户份额持有期间净值增长率为r，依据份额确认时产品单位净值、份额赎回时产品单位净值、客户份额实际运作天数折算为年化收益率（1年按365天计算）。若r低于业绩比较基准下限，管理人不收取超额业绩报酬；若【业绩比较基准下限</w:t>
      </w:r>
      <w:r>
        <w:rPr>
          <w:rFonts w:hint="eastAsia" w:ascii="楷体" w:hAnsi="楷体" w:eastAsia="楷体"/>
          <w:sz w:val="24"/>
          <w:szCs w:val="24"/>
          <w:lang w:val="en-US" w:eastAsia="zh-CN"/>
        </w:rPr>
        <w:t>≤</w:t>
      </w:r>
      <w:r>
        <w:rPr>
          <w:rFonts w:hint="eastAsia" w:ascii="楷体" w:hAnsi="楷体" w:eastAsia="楷体"/>
          <w:sz w:val="24"/>
          <w:szCs w:val="24"/>
        </w:rPr>
        <w:t>r&lt;业绩比较基准下限+（业绩比较基准上限-业绩比较基准下限）*50%】，管理人对超出业绩比较基准下限的部分收取30%的超额业绩报酬；若【r</w:t>
      </w:r>
      <w:r>
        <w:rPr>
          <w:rFonts w:hint="eastAsia" w:ascii="楷体" w:hAnsi="楷体" w:eastAsia="楷体"/>
          <w:sz w:val="24"/>
          <w:szCs w:val="24"/>
          <w:lang w:val="en-US" w:eastAsia="zh-CN"/>
        </w:rPr>
        <w:t>≥</w:t>
      </w:r>
      <w:r>
        <w:rPr>
          <w:rFonts w:hint="eastAsia" w:ascii="楷体" w:hAnsi="楷体" w:eastAsia="楷体"/>
          <w:sz w:val="24"/>
          <w:szCs w:val="24"/>
        </w:rPr>
        <w:t>业绩比较基准下限+（业绩比较基准上限-业绩比较基准下限）*50%】，管理人对超出业绩比较基准下限的部分收取30%的超额业绩报酬，并对超出【业绩比较基准下限+（业绩比较基准上限-业绩比较基准下限）*50%】的部分收取50%的超额业绩报酬。</w:t>
      </w:r>
    </w:p>
    <w:p>
      <w:pPr>
        <w:numPr>
          <w:ilvl w:val="0"/>
          <w:numId w:val="0"/>
        </w:numPr>
        <w:tabs>
          <w:tab w:val="left" w:pos="728"/>
        </w:tabs>
        <w:ind w:firstLine="480" w:firstLineChars="200"/>
        <w:rPr>
          <w:rFonts w:hint="eastAsia" w:ascii="楷体" w:hAnsi="楷体" w:eastAsia="楷体" w:cs="Calibri"/>
          <w:sz w:val="24"/>
          <w:szCs w:val="24"/>
        </w:rPr>
      </w:pPr>
      <w:r>
        <w:rPr>
          <w:rFonts w:hint="eastAsia" w:ascii="楷体" w:hAnsi="楷体" w:eastAsia="楷体" w:cs="Calibri"/>
          <w:sz w:val="24"/>
          <w:szCs w:val="24"/>
          <w:lang w:val="en-US" w:eastAsia="zh-CN"/>
        </w:rPr>
        <w:t>6.</w:t>
      </w:r>
      <w:r>
        <w:rPr>
          <w:rFonts w:hint="eastAsia" w:ascii="楷体" w:hAnsi="楷体" w:eastAsia="楷体" w:cs="Calibri"/>
          <w:sz w:val="24"/>
          <w:szCs w:val="24"/>
        </w:rPr>
        <w:t>产品运作和清算中产生的交易手续费、注册登记费、账户服务费、审计费、及其他应由本产品承担的费用，按照实际发生时从产品中列支。</w:t>
      </w:r>
    </w:p>
    <w:p>
      <w:pPr>
        <w:ind w:firstLine="480" w:firstLineChars="200"/>
        <w:rPr>
          <w:rFonts w:ascii="楷体" w:hAnsi="楷体" w:eastAsia="楷体"/>
          <w:sz w:val="24"/>
          <w:szCs w:val="24"/>
        </w:rPr>
      </w:pPr>
      <w:r>
        <w:rPr>
          <w:rFonts w:hint="eastAsia" w:ascii="楷体" w:hAnsi="楷体" w:eastAsia="楷体"/>
          <w:sz w:val="24"/>
          <w:szCs w:val="24"/>
        </w:rPr>
        <w:t>产品管理人有权根据市场情况等调整上述各项费用费率和超额业绩报酬收取方式及比例，并至少于调整日之前2个工作日进行公告。</w:t>
      </w:r>
      <w:r>
        <w:rPr>
          <w:rFonts w:hint="eastAsia" w:ascii="楷体" w:hAnsi="楷体" w:eastAsia="楷体"/>
          <w:sz w:val="24"/>
          <w:szCs w:val="24"/>
          <w:lang w:eastAsia="zh-CN"/>
        </w:rPr>
        <w:t>产品管理人将通过短信及苏银理财有限责任公司官方网站（www.suyinwealth.com）、销售机构电子渠道和营业网点等方式进行信息披露</w:t>
      </w:r>
      <w:r>
        <w:rPr>
          <w:rFonts w:hint="eastAsia" w:ascii="楷体" w:hAnsi="楷体" w:eastAsia="楷体"/>
          <w:sz w:val="24"/>
          <w:szCs w:val="24"/>
        </w:rPr>
        <w:t>。如投资者不接受的，可在公告约定的期限内赎回本产品，此种情况下产品管理人将可能开放特殊赎回期间，具体以届时产品管理人公告为准；如投资者未赎回本产品，则视为本理财产品投资者对相关调整无异议且同意在调整后继续持有本理财产品。本产品不收取认购费用、申购费用、赎回费用。</w:t>
      </w:r>
    </w:p>
    <w:p>
      <w:pPr>
        <w:tabs>
          <w:tab w:val="left" w:pos="1134"/>
        </w:tabs>
        <w:ind w:left="420" w:leftChars="200"/>
        <w:rPr>
          <w:rFonts w:ascii="楷体" w:hAnsi="楷体" w:eastAsia="楷体"/>
          <w:b/>
          <w:sz w:val="28"/>
          <w:szCs w:val="28"/>
        </w:rPr>
      </w:pPr>
      <w:r>
        <w:rPr>
          <w:rFonts w:hint="eastAsia" w:ascii="楷体" w:hAnsi="楷体" w:eastAsia="楷体"/>
          <w:b/>
          <w:sz w:val="28"/>
          <w:szCs w:val="28"/>
        </w:rPr>
        <w:t>十三、税收规定</w:t>
      </w:r>
    </w:p>
    <w:p>
      <w:pPr>
        <w:ind w:firstLine="480" w:firstLineChars="200"/>
        <w:rPr>
          <w:rFonts w:ascii="楷体" w:hAnsi="楷体" w:eastAsia="楷体"/>
          <w:sz w:val="24"/>
          <w:szCs w:val="24"/>
        </w:rPr>
      </w:pPr>
      <w:r>
        <w:rPr>
          <w:rFonts w:hint="eastAsia" w:ascii="楷体" w:hAnsi="楷体" w:eastAsia="楷体"/>
          <w:sz w:val="24"/>
          <w:szCs w:val="24"/>
        </w:rPr>
        <w:t>根据中国增值税等税收相关法律法规、税收政策等要求，本理财产品运营过程中发生的增值税应税行为，以理财产品管理人为纳税人。签约各方同意本理财产品在运营过程应缴纳的增值税及附加税费（包括但不限于城市维护建设税、教育费附加及地方教育附加等）由管理人从理财产品财产中支付，应缴纳增值税的原因包括但不限于投资者从理财产品中获取的收益被政府机关认定为应缴纳部分、投资者转让未到期理财产品等，并由管理人根据中国税务机关要求，履行相关纳税申报义务，由此可能会使理财产品净值或实际收益降低，请投资者知悉。</w:t>
      </w:r>
      <w:r>
        <w:rPr>
          <w:rFonts w:hint="eastAsia" w:ascii="楷体" w:hAnsi="楷体" w:eastAsia="楷体"/>
          <w:b/>
          <w:sz w:val="24"/>
          <w:szCs w:val="24"/>
          <w:u w:val="single"/>
        </w:rPr>
        <w:t>投资者从理财产品取得的收益应缴纳的税款，由投资者自行申报及缴纳。</w:t>
      </w:r>
    </w:p>
    <w:p>
      <w:pPr>
        <w:tabs>
          <w:tab w:val="left" w:pos="1134"/>
        </w:tabs>
        <w:ind w:left="420" w:leftChars="200"/>
        <w:rPr>
          <w:rFonts w:hint="eastAsia" w:ascii="楷体" w:hAnsi="楷体" w:eastAsia="楷体"/>
          <w:b/>
          <w:sz w:val="28"/>
          <w:szCs w:val="28"/>
          <w:lang w:val="en-US" w:eastAsia="zh-CN"/>
        </w:rPr>
      </w:pPr>
      <w:r>
        <w:rPr>
          <w:rFonts w:hint="eastAsia" w:ascii="楷体" w:hAnsi="楷体" w:eastAsia="楷体"/>
          <w:b/>
          <w:sz w:val="28"/>
          <w:szCs w:val="28"/>
        </w:rPr>
        <w:t>十四、产品托管</w:t>
      </w:r>
      <w:r>
        <w:rPr>
          <w:rFonts w:hint="eastAsia" w:ascii="楷体" w:hAnsi="楷体" w:eastAsia="楷体"/>
          <w:b/>
          <w:sz w:val="28"/>
          <w:szCs w:val="28"/>
          <w:lang w:val="en-US" w:eastAsia="zh-CN"/>
        </w:rPr>
        <w:t>人</w:t>
      </w:r>
    </w:p>
    <w:p>
      <w:pPr>
        <w:numPr>
          <w:ilvl w:val="0"/>
          <w:numId w:val="36"/>
        </w:numPr>
        <w:tabs>
          <w:tab w:val="left" w:pos="993"/>
        </w:tabs>
        <w:ind w:left="0" w:firstLine="480" w:firstLineChars="200"/>
        <w:rPr>
          <w:rFonts w:ascii="楷体" w:hAnsi="楷体" w:eastAsia="楷体" w:cs="Calibri"/>
          <w:sz w:val="24"/>
          <w:szCs w:val="24"/>
        </w:rPr>
      </w:pPr>
      <w:r>
        <w:rPr>
          <w:rFonts w:hint="eastAsia" w:ascii="楷体" w:hAnsi="楷体" w:eastAsia="楷体" w:cs="Calibri"/>
          <w:sz w:val="24"/>
          <w:szCs w:val="24"/>
        </w:rPr>
        <w:t>托管人</w:t>
      </w:r>
    </w:p>
    <w:p>
      <w:pPr>
        <w:ind w:firstLine="480" w:firstLineChars="200"/>
        <w:rPr>
          <w:rFonts w:ascii="楷体" w:hAnsi="楷体" w:eastAsia="楷体"/>
          <w:sz w:val="24"/>
          <w:szCs w:val="24"/>
        </w:rPr>
      </w:pPr>
      <w:r>
        <w:rPr>
          <w:rFonts w:hint="eastAsia" w:ascii="楷体" w:hAnsi="楷体" w:eastAsia="楷体"/>
          <w:sz w:val="24"/>
          <w:szCs w:val="24"/>
        </w:rPr>
        <w:t>本产品托管人为江苏银行股份有限公司。产品管理人在此特别披露</w:t>
      </w:r>
      <w:r>
        <w:rPr>
          <w:rFonts w:ascii="楷体" w:hAnsi="楷体" w:eastAsia="楷体"/>
          <w:sz w:val="24"/>
          <w:szCs w:val="24"/>
        </w:rPr>
        <w:t>：</w:t>
      </w:r>
      <w:r>
        <w:rPr>
          <w:rFonts w:hint="eastAsia" w:ascii="楷体" w:hAnsi="楷体" w:eastAsia="楷体"/>
          <w:sz w:val="24"/>
          <w:szCs w:val="24"/>
        </w:rPr>
        <w:t>托管人为产品管理人的关联方</w:t>
      </w:r>
      <w:r>
        <w:rPr>
          <w:rFonts w:ascii="楷体" w:hAnsi="楷体" w:eastAsia="楷体"/>
          <w:sz w:val="24"/>
          <w:szCs w:val="24"/>
        </w:rPr>
        <w:t>，</w:t>
      </w:r>
      <w:r>
        <w:rPr>
          <w:rFonts w:hint="eastAsia" w:ascii="楷体" w:hAnsi="楷体" w:eastAsia="楷体"/>
          <w:sz w:val="24"/>
          <w:szCs w:val="24"/>
        </w:rPr>
        <w:t>产品管理人聘请其担任托管人已履行现行法律法规和监管规定所规定必须履行的程序</w:t>
      </w:r>
      <w:r>
        <w:rPr>
          <w:rFonts w:ascii="楷体" w:hAnsi="楷体" w:eastAsia="楷体"/>
          <w:sz w:val="24"/>
          <w:szCs w:val="24"/>
        </w:rPr>
        <w:t>，</w:t>
      </w:r>
      <w:r>
        <w:rPr>
          <w:rFonts w:hint="eastAsia" w:ascii="楷体" w:hAnsi="楷体" w:eastAsia="楷体"/>
          <w:sz w:val="24"/>
          <w:szCs w:val="24"/>
        </w:rPr>
        <w:t>产品管理人、投资者同意并接受理财产品由托管人托管。</w:t>
      </w:r>
    </w:p>
    <w:p>
      <w:pPr>
        <w:numPr>
          <w:ilvl w:val="0"/>
          <w:numId w:val="36"/>
        </w:numPr>
        <w:tabs>
          <w:tab w:val="left" w:pos="993"/>
        </w:tabs>
        <w:ind w:left="0" w:firstLine="480" w:firstLineChars="200"/>
        <w:rPr>
          <w:rFonts w:ascii="楷体" w:hAnsi="楷体" w:eastAsia="楷体" w:cs="Calibri"/>
          <w:sz w:val="24"/>
          <w:szCs w:val="24"/>
        </w:rPr>
      </w:pPr>
      <w:r>
        <w:rPr>
          <w:rFonts w:hint="eastAsia" w:ascii="楷体" w:hAnsi="楷体" w:eastAsia="楷体" w:cs="Calibri"/>
          <w:sz w:val="24"/>
          <w:szCs w:val="24"/>
        </w:rPr>
        <w:t>托管人职责</w:t>
      </w:r>
    </w:p>
    <w:p>
      <w:pPr>
        <w:numPr>
          <w:ilvl w:val="0"/>
          <w:numId w:val="37"/>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安全保管理财产品财产；</w:t>
      </w:r>
    </w:p>
    <w:p>
      <w:pPr>
        <w:numPr>
          <w:ilvl w:val="0"/>
          <w:numId w:val="37"/>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为理财产品开立银行托管账户、证券账户等；</w:t>
      </w:r>
    </w:p>
    <w:p>
      <w:pPr>
        <w:numPr>
          <w:ilvl w:val="0"/>
          <w:numId w:val="37"/>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确认与执行理财产品资金划拨指令，办理理财产品资金的收付，核对理财产品资金划拨记录；</w:t>
      </w:r>
    </w:p>
    <w:p>
      <w:pPr>
        <w:numPr>
          <w:ilvl w:val="0"/>
          <w:numId w:val="37"/>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建立与理财产品管理人的对账机制，复核理财产品资产净值、理财产品份额申购、赎回价格，及时核查投资资金的支付和到账情况；</w:t>
      </w:r>
    </w:p>
    <w:p>
      <w:pPr>
        <w:numPr>
          <w:ilvl w:val="0"/>
          <w:numId w:val="37"/>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监督理财产品投资运作；</w:t>
      </w:r>
    </w:p>
    <w:p>
      <w:pPr>
        <w:numPr>
          <w:ilvl w:val="0"/>
          <w:numId w:val="37"/>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办理与理财产品托管业务活动相关的信息披露事项；</w:t>
      </w:r>
    </w:p>
    <w:p>
      <w:pPr>
        <w:numPr>
          <w:ilvl w:val="0"/>
          <w:numId w:val="37"/>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保存理财产品托管业务活动的记录、账册、报表和其他相关材料；</w:t>
      </w:r>
    </w:p>
    <w:p>
      <w:pPr>
        <w:numPr>
          <w:ilvl w:val="0"/>
          <w:numId w:val="37"/>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对理财产品投资信息和相关资料承担保密责任；</w:t>
      </w:r>
    </w:p>
    <w:p>
      <w:pPr>
        <w:numPr>
          <w:ilvl w:val="0"/>
          <w:numId w:val="37"/>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国务院银行业监督管理机构规定的其他职责。</w:t>
      </w:r>
    </w:p>
    <w:p>
      <w:pPr>
        <w:tabs>
          <w:tab w:val="left" w:pos="1134"/>
        </w:tabs>
        <w:ind w:left="420" w:leftChars="200"/>
        <w:rPr>
          <w:rFonts w:ascii="楷体" w:hAnsi="楷体" w:eastAsia="楷体"/>
          <w:b/>
          <w:sz w:val="28"/>
          <w:szCs w:val="28"/>
        </w:rPr>
      </w:pPr>
      <w:r>
        <w:rPr>
          <w:rFonts w:hint="eastAsia" w:ascii="楷体" w:hAnsi="楷体" w:eastAsia="楷体"/>
          <w:b/>
          <w:sz w:val="28"/>
          <w:szCs w:val="28"/>
        </w:rPr>
        <w:t>十五、信息披露</w:t>
      </w:r>
    </w:p>
    <w:p>
      <w:pPr>
        <w:numPr>
          <w:ilvl w:val="0"/>
          <w:numId w:val="38"/>
        </w:numPr>
        <w:tabs>
          <w:tab w:val="left" w:pos="993"/>
        </w:tabs>
        <w:ind w:left="0" w:firstLine="482" w:firstLineChars="200"/>
        <w:outlineLvl w:val="2"/>
        <w:rPr>
          <w:rFonts w:ascii="楷体" w:hAnsi="楷体" w:eastAsia="楷体" w:cs="Calibri"/>
          <w:b/>
          <w:sz w:val="24"/>
          <w:szCs w:val="24"/>
        </w:rPr>
      </w:pPr>
      <w:r>
        <w:rPr>
          <w:rFonts w:hint="eastAsia" w:ascii="楷体" w:hAnsi="楷体" w:eastAsia="楷体" w:cs="Calibri"/>
          <w:b/>
          <w:sz w:val="24"/>
          <w:szCs w:val="24"/>
        </w:rPr>
        <w:t>信息披露内容</w:t>
      </w:r>
    </w:p>
    <w:p>
      <w:pPr>
        <w:numPr>
          <w:ilvl w:val="0"/>
          <w:numId w:val="39"/>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产品类型、募集信息、产品净值、产品规模、托管安排、投资账户信息；</w:t>
      </w:r>
    </w:p>
    <w:p>
      <w:pPr>
        <w:numPr>
          <w:ilvl w:val="0"/>
          <w:numId w:val="39"/>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产品投向、投资比例、持仓情况、杠杆水平以及主要投资风险；</w:t>
      </w:r>
    </w:p>
    <w:p>
      <w:pPr>
        <w:numPr>
          <w:ilvl w:val="0"/>
          <w:numId w:val="39"/>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产品收益分配、各项费用情况；</w:t>
      </w:r>
    </w:p>
    <w:p>
      <w:pPr>
        <w:numPr>
          <w:ilvl w:val="0"/>
          <w:numId w:val="39"/>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产品涉及关联交易；</w:t>
      </w:r>
    </w:p>
    <w:p>
      <w:pPr>
        <w:numPr>
          <w:ilvl w:val="0"/>
          <w:numId w:val="39"/>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其他影响本产品投资运作的重大事项、临时性信息披露等。</w:t>
      </w:r>
    </w:p>
    <w:p>
      <w:pPr>
        <w:numPr>
          <w:ilvl w:val="0"/>
          <w:numId w:val="38"/>
        </w:numPr>
        <w:tabs>
          <w:tab w:val="left" w:pos="993"/>
        </w:tabs>
        <w:ind w:left="0" w:firstLine="482" w:firstLineChars="200"/>
        <w:outlineLvl w:val="2"/>
        <w:rPr>
          <w:rFonts w:ascii="楷体" w:hAnsi="楷体" w:eastAsia="楷体" w:cs="Calibri"/>
          <w:b/>
          <w:sz w:val="24"/>
          <w:szCs w:val="24"/>
        </w:rPr>
      </w:pPr>
      <w:r>
        <w:rPr>
          <w:rFonts w:hint="eastAsia" w:ascii="楷体" w:hAnsi="楷体" w:eastAsia="楷体" w:cs="Calibri"/>
          <w:b/>
          <w:sz w:val="24"/>
          <w:szCs w:val="24"/>
        </w:rPr>
        <w:t>信息披露频率</w:t>
      </w:r>
    </w:p>
    <w:p>
      <w:pPr>
        <w:numPr>
          <w:ilvl w:val="0"/>
          <w:numId w:val="40"/>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发行公告：管理人在产品成立后5个工作日内，披露产品成立公告，内容包括理财产品成立日期和募集规模等信息。</w:t>
      </w:r>
    </w:p>
    <w:p>
      <w:pPr>
        <w:numPr>
          <w:ilvl w:val="0"/>
          <w:numId w:val="40"/>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定期公告：管理人在每个季度结束之日起15个工作日内、上半年结束之日起60个工作日内、每年结束之日起90个工作日内，披露产品季度、半年和年度报告等定期报告；产品成立不足90个工作日或者剩余存续期不超过90个工作日的，管理人将不编制产品当期的季度、半年和年度报告；内容包括理财产品的存续规模、收益表现，并分别列示直接和间接投资的资产种类、投资比例、投资组合的流动性风险分析，以及前十项资产具体名称、规模和比例等信息。</w:t>
      </w:r>
    </w:p>
    <w:p>
      <w:pPr>
        <w:numPr>
          <w:ilvl w:val="0"/>
          <w:numId w:val="40"/>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到期公告：管理人在产品终止后5个工作日内，披露产品到期公告，内容包括理财产品的存续期限、终止日期、收费情况和收益分配情况等信息。</w:t>
      </w:r>
    </w:p>
    <w:p>
      <w:pPr>
        <w:numPr>
          <w:ilvl w:val="0"/>
          <w:numId w:val="0"/>
        </w:numPr>
        <w:tabs>
          <w:tab w:val="left" w:pos="728"/>
        </w:tabs>
        <w:ind w:firstLine="480" w:firstLineChars="200"/>
        <w:rPr>
          <w:rFonts w:ascii="楷体" w:hAnsi="楷体" w:eastAsia="楷体" w:cs="Calibri"/>
          <w:sz w:val="24"/>
          <w:szCs w:val="24"/>
        </w:rPr>
      </w:pPr>
      <w:r>
        <w:rPr>
          <w:rFonts w:hint="eastAsia" w:ascii="楷体" w:hAnsi="楷体" w:eastAsia="楷体" w:cs="Calibri"/>
          <w:sz w:val="24"/>
          <w:szCs w:val="24"/>
          <w:lang w:val="en-US" w:eastAsia="zh-CN"/>
        </w:rPr>
        <w:t>4.</w:t>
      </w:r>
      <w:r>
        <w:rPr>
          <w:rFonts w:hint="eastAsia" w:ascii="楷体" w:hAnsi="楷体" w:eastAsia="楷体" w:cs="Calibri"/>
          <w:sz w:val="24"/>
          <w:szCs w:val="24"/>
        </w:rPr>
        <w:t>重大事项公告：管理人在发生可能对理财产品投资者或者理财产品收益产生重大事项的事件后2个工作日内发布重大事项公告。</w:t>
      </w:r>
    </w:p>
    <w:p>
      <w:pPr>
        <w:numPr>
          <w:ilvl w:val="0"/>
          <w:numId w:val="0"/>
        </w:numPr>
        <w:tabs>
          <w:tab w:val="left" w:pos="728"/>
        </w:tabs>
        <w:ind w:firstLine="480" w:firstLineChars="200"/>
        <w:rPr>
          <w:rFonts w:ascii="楷体" w:hAnsi="楷体" w:eastAsia="楷体" w:cs="Calibri"/>
          <w:sz w:val="24"/>
          <w:szCs w:val="24"/>
        </w:rPr>
      </w:pPr>
      <w:r>
        <w:rPr>
          <w:rFonts w:hint="eastAsia" w:ascii="楷体" w:hAnsi="楷体" w:eastAsia="楷体" w:cs="Calibri"/>
          <w:sz w:val="24"/>
          <w:szCs w:val="24"/>
          <w:lang w:val="en-US" w:eastAsia="zh-CN"/>
        </w:rPr>
        <w:t>5.</w:t>
      </w:r>
      <w:r>
        <w:rPr>
          <w:rFonts w:hint="eastAsia" w:ascii="楷体" w:hAnsi="楷体" w:eastAsia="楷体" w:cs="Calibri"/>
          <w:sz w:val="24"/>
          <w:szCs w:val="24"/>
        </w:rPr>
        <w:t>产品净值披露：本产品存续期内每周按说明书约定方式披露单位净值，每个开放日结束后2个工作日内通过本理财产品说明书约定方式披露上一投资周期终止日的单位净值、份额累计净值、认</w:t>
      </w:r>
      <w:r>
        <w:rPr>
          <w:rFonts w:hint="eastAsia" w:ascii="楷体" w:hAnsi="楷体" w:eastAsia="楷体" w:cs="Calibri"/>
          <w:sz w:val="24"/>
          <w:szCs w:val="24"/>
          <w:lang w:val="en-US" w:eastAsia="zh-CN"/>
        </w:rPr>
        <w:t>/申</w:t>
      </w:r>
      <w:r>
        <w:rPr>
          <w:rFonts w:hint="eastAsia" w:ascii="楷体" w:hAnsi="楷体" w:eastAsia="楷体" w:cs="Calibri"/>
          <w:sz w:val="24"/>
          <w:szCs w:val="24"/>
        </w:rPr>
        <w:t>购价格和赎回价格。</w:t>
      </w:r>
    </w:p>
    <w:p>
      <w:pPr>
        <w:numPr>
          <w:ilvl w:val="0"/>
          <w:numId w:val="0"/>
        </w:numPr>
        <w:tabs>
          <w:tab w:val="left" w:pos="728"/>
        </w:tabs>
        <w:ind w:firstLine="480" w:firstLineChars="200"/>
        <w:rPr>
          <w:rFonts w:hint="eastAsia" w:ascii="楷体" w:hAnsi="楷体" w:eastAsia="楷体" w:cs="Calibri"/>
          <w:sz w:val="24"/>
          <w:szCs w:val="24"/>
        </w:rPr>
      </w:pPr>
      <w:r>
        <w:rPr>
          <w:rFonts w:hint="eastAsia" w:ascii="楷体" w:hAnsi="楷体" w:eastAsia="楷体" w:cs="Calibri"/>
          <w:sz w:val="24"/>
          <w:szCs w:val="24"/>
          <w:lang w:val="en-US" w:eastAsia="zh-CN"/>
        </w:rPr>
        <w:t>6.</w:t>
      </w:r>
      <w:r>
        <w:rPr>
          <w:rFonts w:hint="eastAsia" w:ascii="楷体" w:hAnsi="楷体" w:eastAsia="楷体" w:cs="Calibri"/>
          <w:sz w:val="24"/>
          <w:szCs w:val="24"/>
        </w:rPr>
        <w:t>临时性信息披露：管理人将及时披露国务院银行业监督管理机构规定的其他信息或除重大事项事件以外的其他信息。</w:t>
      </w:r>
    </w:p>
    <w:p>
      <w:pPr>
        <w:numPr>
          <w:ilvl w:val="0"/>
          <w:numId w:val="0"/>
        </w:numPr>
        <w:tabs>
          <w:tab w:val="left" w:pos="728"/>
        </w:tabs>
        <w:ind w:firstLine="480" w:firstLineChars="200"/>
        <w:rPr>
          <w:rFonts w:hint="eastAsia" w:ascii="楷体" w:hAnsi="楷体" w:eastAsia="楷体" w:cs="Calibri"/>
          <w:sz w:val="24"/>
          <w:szCs w:val="24"/>
        </w:rPr>
      </w:pPr>
      <w:r>
        <w:rPr>
          <w:rFonts w:hint="eastAsia" w:ascii="楷体" w:hAnsi="楷体" w:eastAsia="楷体" w:cs="Calibri"/>
          <w:sz w:val="24"/>
          <w:szCs w:val="24"/>
          <w:lang w:val="en-US" w:eastAsia="zh-CN"/>
        </w:rPr>
        <w:t>7.</w:t>
      </w:r>
      <w:r>
        <w:rPr>
          <w:rFonts w:hint="eastAsia" w:ascii="楷体" w:hAnsi="楷体" w:eastAsia="楷体" w:cs="Calibri"/>
          <w:sz w:val="24"/>
          <w:szCs w:val="24"/>
        </w:rPr>
        <w:t>半年度整体报告：每半年披露从事理财业务活动的有关信息。</w:t>
      </w:r>
    </w:p>
    <w:p>
      <w:pPr>
        <w:numPr>
          <w:ilvl w:val="0"/>
          <w:numId w:val="0"/>
        </w:numPr>
        <w:tabs>
          <w:tab w:val="left" w:pos="728"/>
        </w:tabs>
        <w:ind w:firstLine="480" w:firstLineChars="200"/>
        <w:rPr>
          <w:rFonts w:ascii="楷体" w:hAnsi="楷体" w:eastAsia="楷体" w:cs="Calibri"/>
          <w:sz w:val="24"/>
          <w:szCs w:val="24"/>
        </w:rPr>
      </w:pPr>
      <w:r>
        <w:rPr>
          <w:rFonts w:hint="eastAsia" w:ascii="楷体" w:hAnsi="楷体" w:eastAsia="楷体" w:cs="Calibri"/>
          <w:sz w:val="24"/>
          <w:szCs w:val="24"/>
          <w:lang w:val="en-US" w:eastAsia="zh-CN"/>
        </w:rPr>
        <w:t>8.</w:t>
      </w:r>
      <w:r>
        <w:rPr>
          <w:rFonts w:hint="eastAsia" w:ascii="楷体" w:hAnsi="楷体" w:eastAsia="楷体" w:cs="Calibri"/>
          <w:sz w:val="24"/>
          <w:szCs w:val="24"/>
        </w:rPr>
        <w:t>理财账单：管理人每月向投资者提供其所持有的理财产品账单，账单内容包括但不限于投资者持有的理财产品份额、认购金额、</w:t>
      </w:r>
      <w:r>
        <w:rPr>
          <w:rFonts w:hint="eastAsia" w:ascii="楷体" w:hAnsi="楷体" w:eastAsia="楷体" w:cs="Calibri"/>
          <w:sz w:val="24"/>
          <w:szCs w:val="24"/>
          <w:lang w:val="en-US" w:eastAsia="zh-CN"/>
        </w:rPr>
        <w:t>份额单位</w:t>
      </w:r>
      <w:r>
        <w:rPr>
          <w:rFonts w:hint="eastAsia" w:ascii="楷体" w:hAnsi="楷体" w:eastAsia="楷体" w:cs="Calibri"/>
          <w:sz w:val="24"/>
          <w:szCs w:val="24"/>
        </w:rPr>
        <w:t>净值、份额累计净值、资产净值、收益情况、投资者理财交易账户发生的交易明细记录等信息。</w:t>
      </w:r>
    </w:p>
    <w:p>
      <w:pPr>
        <w:numPr>
          <w:ilvl w:val="0"/>
          <w:numId w:val="0"/>
        </w:numPr>
        <w:tabs>
          <w:tab w:val="left" w:pos="993"/>
        </w:tabs>
        <w:ind w:leftChars="200"/>
        <w:rPr>
          <w:rFonts w:ascii="楷体" w:hAnsi="楷体" w:eastAsia="楷体" w:cs="Calibri"/>
          <w:b/>
          <w:bCs/>
          <w:sz w:val="24"/>
          <w:szCs w:val="24"/>
        </w:rPr>
      </w:pPr>
      <w:r>
        <w:rPr>
          <w:rFonts w:hint="eastAsia" w:ascii="楷体" w:hAnsi="楷体" w:eastAsia="楷体" w:cs="Calibri"/>
          <w:b/>
          <w:bCs/>
          <w:sz w:val="24"/>
          <w:szCs w:val="24"/>
          <w:lang w:eastAsia="zh-CN"/>
        </w:rPr>
        <w:t>（</w:t>
      </w:r>
      <w:r>
        <w:rPr>
          <w:rFonts w:hint="eastAsia" w:ascii="楷体" w:hAnsi="楷体" w:eastAsia="楷体" w:cs="Calibri"/>
          <w:b/>
          <w:bCs/>
          <w:sz w:val="24"/>
          <w:szCs w:val="24"/>
          <w:lang w:val="en-US" w:eastAsia="zh-CN"/>
        </w:rPr>
        <w:t>三</w:t>
      </w:r>
      <w:r>
        <w:rPr>
          <w:rFonts w:hint="eastAsia" w:ascii="楷体" w:hAnsi="楷体" w:eastAsia="楷体" w:cs="Calibri"/>
          <w:b/>
          <w:bCs/>
          <w:sz w:val="24"/>
          <w:szCs w:val="24"/>
          <w:lang w:eastAsia="zh-CN"/>
        </w:rPr>
        <w:t>）</w:t>
      </w:r>
      <w:r>
        <w:rPr>
          <w:rFonts w:hint="eastAsia" w:ascii="楷体" w:hAnsi="楷体" w:eastAsia="楷体" w:cs="Calibri"/>
          <w:b/>
          <w:bCs/>
          <w:sz w:val="24"/>
          <w:szCs w:val="24"/>
        </w:rPr>
        <w:t>信息披露方式</w:t>
      </w:r>
    </w:p>
    <w:p>
      <w:pPr>
        <w:ind w:firstLine="480" w:firstLineChars="200"/>
        <w:rPr>
          <w:rFonts w:hint="eastAsia" w:ascii="楷体" w:hAnsi="楷体" w:eastAsia="楷体"/>
          <w:sz w:val="24"/>
          <w:szCs w:val="24"/>
        </w:rPr>
      </w:pPr>
      <w:r>
        <w:rPr>
          <w:rFonts w:hint="eastAsia" w:ascii="楷体" w:hAnsi="楷体" w:eastAsia="楷体"/>
          <w:sz w:val="24"/>
          <w:szCs w:val="24"/>
        </w:rPr>
        <w:t>由苏银理财按监管要求和说明书的约定，同时通过以下方式向投资者进行信息披露，披露方式包括：</w:t>
      </w:r>
    </w:p>
    <w:p>
      <w:pPr>
        <w:numPr>
          <w:ilvl w:val="0"/>
          <w:numId w:val="41"/>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苏银理财通过苏银理财有限责任公司官方网站（</w:t>
      </w:r>
      <w:r>
        <w:rPr>
          <w:rFonts w:ascii="楷体" w:hAnsi="楷体" w:eastAsia="楷体" w:cs="Calibri"/>
          <w:sz w:val="24"/>
          <w:szCs w:val="24"/>
        </w:rPr>
        <w:t>www.suyinwealth.com</w:t>
      </w:r>
      <w:r>
        <w:rPr>
          <w:rFonts w:hint="eastAsia" w:ascii="楷体" w:hAnsi="楷体" w:eastAsia="楷体" w:cs="Calibri"/>
          <w:sz w:val="24"/>
          <w:szCs w:val="24"/>
        </w:rPr>
        <w:t>）进行信息披露。</w:t>
      </w:r>
    </w:p>
    <w:p>
      <w:pPr>
        <w:numPr>
          <w:ilvl w:val="0"/>
          <w:numId w:val="41"/>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苏银理财将信息披露内容发送销售机构，由销售机构通过</w:t>
      </w:r>
      <w:r>
        <w:rPr>
          <w:rFonts w:hint="eastAsia" w:ascii="楷体" w:hAnsi="楷体" w:eastAsia="楷体" w:cs="Calibri"/>
          <w:sz w:val="24"/>
          <w:szCs w:val="24"/>
          <w:lang w:val="en-US" w:eastAsia="zh-CN"/>
        </w:rPr>
        <w:t>短信及</w:t>
      </w:r>
      <w:r>
        <w:rPr>
          <w:rFonts w:hint="eastAsia" w:ascii="楷体" w:hAnsi="楷体" w:eastAsia="楷体" w:cs="Calibri"/>
          <w:sz w:val="24"/>
          <w:szCs w:val="24"/>
        </w:rPr>
        <w:t>销售机构电子渠道和营业网点</w:t>
      </w:r>
      <w:r>
        <w:rPr>
          <w:rFonts w:hint="eastAsia" w:ascii="楷体" w:hAnsi="楷体" w:eastAsia="楷体" w:cs="Calibri"/>
          <w:sz w:val="24"/>
          <w:szCs w:val="24"/>
          <w:lang w:val="en-US" w:eastAsia="zh-CN"/>
        </w:rPr>
        <w:t>等方式</w:t>
      </w:r>
      <w:r>
        <w:rPr>
          <w:rFonts w:hint="eastAsia" w:ascii="楷体" w:hAnsi="楷体" w:eastAsia="楷体" w:cs="Calibri"/>
          <w:sz w:val="24"/>
          <w:szCs w:val="24"/>
        </w:rPr>
        <w:t>进行信息披露。</w:t>
      </w:r>
    </w:p>
    <w:p>
      <w:pPr>
        <w:ind w:firstLine="480" w:firstLineChars="200"/>
        <w:rPr>
          <w:rFonts w:hint="eastAsia" w:ascii="楷体" w:hAnsi="楷体" w:eastAsia="楷体"/>
          <w:sz w:val="24"/>
          <w:szCs w:val="24"/>
        </w:rPr>
      </w:pPr>
      <w:r>
        <w:rPr>
          <w:rFonts w:hint="eastAsia" w:ascii="楷体" w:hAnsi="楷体" w:eastAsia="楷体"/>
          <w:sz w:val="24"/>
          <w:szCs w:val="24"/>
        </w:rPr>
        <w:t>相关信息在发布或发出之日视为通知已送达投资者并生效，</w:t>
      </w:r>
      <w:r>
        <w:rPr>
          <w:rFonts w:hint="eastAsia" w:ascii="楷体" w:hAnsi="楷体" w:eastAsia="楷体"/>
          <w:sz w:val="24"/>
          <w:szCs w:val="24"/>
          <w:lang w:val="en-US" w:eastAsia="zh-CN"/>
        </w:rPr>
        <w:t>管理人已完全履行信息披露义务。如因投资者未及时查询，或由于通讯故障、非产品管理人原因的系统故障以及其它不可抗力等因素的影响，致使投资者无法及时获取产品信息而产生的全部责任和风险（包括但不限于因未及时获取信息而错过资金使用和再投资的机会等），都由投资者自行承担。因此</w:t>
      </w:r>
      <w:r>
        <w:rPr>
          <w:rFonts w:hint="eastAsia" w:ascii="楷体" w:hAnsi="楷体" w:eastAsia="楷体"/>
          <w:sz w:val="24"/>
          <w:szCs w:val="24"/>
        </w:rPr>
        <w:t>请</w:t>
      </w:r>
      <w:r>
        <w:rPr>
          <w:rFonts w:hint="eastAsia" w:ascii="楷体" w:hAnsi="楷体" w:eastAsia="楷体"/>
          <w:sz w:val="24"/>
          <w:szCs w:val="24"/>
          <w:lang w:val="en-US" w:eastAsia="zh-CN"/>
        </w:rPr>
        <w:t>投资者</w:t>
      </w:r>
      <w:r>
        <w:rPr>
          <w:rFonts w:hint="eastAsia" w:ascii="楷体" w:hAnsi="楷体" w:eastAsia="楷体"/>
          <w:sz w:val="24"/>
          <w:szCs w:val="24"/>
        </w:rPr>
        <w:t>及时登陆苏银理财有限责任</w:t>
      </w:r>
      <w:r>
        <w:rPr>
          <w:rFonts w:hint="eastAsia" w:ascii="楷体" w:hAnsi="楷体" w:eastAsia="楷体"/>
          <w:sz w:val="24"/>
          <w:szCs w:val="24"/>
          <w:lang w:val="en-US" w:eastAsia="zh-CN"/>
        </w:rPr>
        <w:t>公司</w:t>
      </w:r>
      <w:r>
        <w:rPr>
          <w:rFonts w:hint="eastAsia" w:ascii="楷体" w:hAnsi="楷体" w:eastAsia="楷体"/>
          <w:sz w:val="24"/>
          <w:szCs w:val="24"/>
        </w:rPr>
        <w:t>官方网站或者向销售机构查询获取披露信息。</w:t>
      </w:r>
    </w:p>
    <w:p>
      <w:pPr>
        <w:tabs>
          <w:tab w:val="left" w:pos="1134"/>
        </w:tabs>
        <w:ind w:left="420" w:leftChars="200"/>
        <w:rPr>
          <w:rFonts w:ascii="楷体" w:hAnsi="楷体" w:eastAsia="楷体"/>
          <w:b/>
          <w:sz w:val="28"/>
          <w:szCs w:val="28"/>
        </w:rPr>
      </w:pPr>
      <w:r>
        <w:rPr>
          <w:rFonts w:hint="eastAsia" w:ascii="楷体" w:hAnsi="楷体" w:eastAsia="楷体"/>
          <w:b/>
          <w:sz w:val="28"/>
          <w:szCs w:val="28"/>
        </w:rPr>
        <w:t>十六、其他</w:t>
      </w:r>
    </w:p>
    <w:p>
      <w:pPr>
        <w:numPr>
          <w:ilvl w:val="0"/>
          <w:numId w:val="42"/>
        </w:numPr>
        <w:tabs>
          <w:tab w:val="left" w:pos="993"/>
        </w:tabs>
        <w:ind w:left="0" w:firstLine="482" w:firstLineChars="200"/>
        <w:outlineLvl w:val="2"/>
        <w:rPr>
          <w:rFonts w:ascii="楷体" w:hAnsi="楷体" w:eastAsia="楷体" w:cs="Calibri"/>
          <w:b/>
          <w:sz w:val="24"/>
          <w:szCs w:val="24"/>
        </w:rPr>
      </w:pPr>
      <w:r>
        <w:rPr>
          <w:rFonts w:hint="eastAsia" w:ascii="楷体" w:hAnsi="楷体" w:eastAsia="楷体" w:cs="Calibri"/>
          <w:b/>
          <w:sz w:val="24"/>
          <w:szCs w:val="24"/>
        </w:rPr>
        <w:t>追索条款</w:t>
      </w:r>
    </w:p>
    <w:p>
      <w:pPr>
        <w:ind w:firstLine="480" w:firstLineChars="200"/>
        <w:rPr>
          <w:rFonts w:ascii="楷体" w:hAnsi="楷体" w:eastAsia="楷体"/>
          <w:sz w:val="24"/>
          <w:szCs w:val="24"/>
        </w:rPr>
      </w:pPr>
      <w:r>
        <w:rPr>
          <w:rFonts w:hint="eastAsia" w:ascii="楷体" w:hAnsi="楷体" w:eastAsia="楷体"/>
          <w:sz w:val="24"/>
          <w:szCs w:val="24"/>
        </w:rPr>
        <w:t>若本理财产品所投资的金融资产到期不能全部偿付导致资产减值甚至本金大幅损失，则苏银理财将以管理人名义，代表理财产品投资者利益行使诉讼权利或者实施其他权利救济措施。</w:t>
      </w:r>
    </w:p>
    <w:p>
      <w:pPr>
        <w:numPr>
          <w:ilvl w:val="0"/>
          <w:numId w:val="42"/>
        </w:numPr>
        <w:tabs>
          <w:tab w:val="left" w:pos="993"/>
        </w:tabs>
        <w:ind w:left="0" w:firstLine="482" w:firstLineChars="200"/>
        <w:outlineLvl w:val="2"/>
        <w:rPr>
          <w:rFonts w:ascii="楷体" w:hAnsi="楷体" w:eastAsia="楷体" w:cs="Calibri"/>
          <w:b/>
          <w:sz w:val="24"/>
          <w:szCs w:val="24"/>
        </w:rPr>
      </w:pPr>
      <w:r>
        <w:rPr>
          <w:rFonts w:hint="eastAsia" w:ascii="楷体" w:hAnsi="楷体" w:eastAsia="楷体" w:cs="Calibri"/>
          <w:b/>
          <w:sz w:val="24"/>
          <w:szCs w:val="24"/>
        </w:rPr>
        <w:t>信息安全</w:t>
      </w:r>
    </w:p>
    <w:p>
      <w:pPr>
        <w:ind w:firstLine="480" w:firstLineChars="200"/>
        <w:rPr>
          <w:rFonts w:hint="eastAsia" w:ascii="楷体" w:hAnsi="楷体" w:eastAsia="楷体"/>
          <w:sz w:val="24"/>
          <w:szCs w:val="24"/>
        </w:rPr>
      </w:pPr>
      <w:r>
        <w:rPr>
          <w:rFonts w:hint="eastAsia" w:ascii="楷体" w:hAnsi="楷体" w:eastAsia="楷体"/>
          <w:sz w:val="24"/>
          <w:szCs w:val="24"/>
        </w:rPr>
        <w:t>苏银理财及</w:t>
      </w:r>
      <w:r>
        <w:rPr>
          <w:rFonts w:hint="eastAsia" w:ascii="楷体" w:hAnsi="楷体" w:eastAsia="楷体"/>
          <w:sz w:val="24"/>
          <w:szCs w:val="24"/>
          <w:lang w:val="en-US" w:eastAsia="zh-CN"/>
        </w:rPr>
        <w:t>销售</w:t>
      </w:r>
      <w:r>
        <w:rPr>
          <w:rFonts w:hint="eastAsia" w:ascii="楷体" w:hAnsi="楷体" w:eastAsia="楷体"/>
          <w:sz w:val="24"/>
          <w:szCs w:val="24"/>
        </w:rPr>
        <w:t>机构将据相关法律、法规严格履行投资者信息保密责任，除监管机构或司法机关等有权机构外，不得对其他第三方提供任何投资者信息。投资者在此同意并授权，苏银理财可根据监管要求，为理财产品登记等需要，向登记部门或监管机构提供投资者相关信息。</w:t>
      </w:r>
    </w:p>
    <w:p>
      <w:pPr>
        <w:ind w:firstLine="480" w:firstLineChars="200"/>
        <w:rPr>
          <w:rFonts w:hint="eastAsia" w:ascii="楷体" w:hAnsi="楷体" w:eastAsia="楷体"/>
          <w:sz w:val="24"/>
          <w:szCs w:val="24"/>
        </w:rPr>
      </w:pPr>
      <w:r>
        <w:rPr>
          <w:rFonts w:hint="eastAsia" w:ascii="楷体" w:hAnsi="楷体" w:eastAsia="楷体"/>
          <w:sz w:val="24"/>
          <w:szCs w:val="24"/>
        </w:rPr>
        <w:t>投资者在此同意并授权苏银理财可根据业务需要向苏银理财集团成员、服务机构及其他苏银理财认为必要的业务合作机构提供苏银理财获取的投资者个人信息，范围包括但不限于投资人的身份信息、账户信息等。上述第三方将为处理本协议项下事务之目的</w:t>
      </w:r>
      <w:r>
        <w:rPr>
          <w:rFonts w:hint="eastAsia" w:ascii="楷体" w:hAnsi="楷体" w:eastAsia="楷体"/>
          <w:sz w:val="24"/>
          <w:szCs w:val="24"/>
          <w:lang w:val="en-US" w:eastAsia="zh-CN"/>
        </w:rPr>
        <w:t>接触</w:t>
      </w:r>
      <w:r>
        <w:rPr>
          <w:rFonts w:hint="eastAsia" w:ascii="楷体" w:hAnsi="楷体" w:eastAsia="楷体"/>
          <w:sz w:val="24"/>
          <w:szCs w:val="24"/>
        </w:rPr>
        <w:t>并按照苏银理财的业务要求以及“最少必须”原则使用投资人个人信息。苏银理财承诺将向有关第三方明确其保护投资人信息的职责并要求第三方承担相应的保密义务。</w:t>
      </w:r>
    </w:p>
    <w:p>
      <w:pPr>
        <w:numPr>
          <w:ilvl w:val="0"/>
          <w:numId w:val="42"/>
        </w:numPr>
        <w:tabs>
          <w:tab w:val="left" w:pos="993"/>
        </w:tabs>
        <w:ind w:left="0" w:firstLine="482" w:firstLineChars="200"/>
        <w:outlineLvl w:val="2"/>
        <w:rPr>
          <w:rFonts w:ascii="楷体" w:hAnsi="楷体" w:eastAsia="楷体" w:cs="Calibri"/>
          <w:b/>
          <w:sz w:val="24"/>
          <w:szCs w:val="24"/>
        </w:rPr>
      </w:pPr>
      <w:r>
        <w:rPr>
          <w:rFonts w:hint="eastAsia" w:ascii="楷体" w:hAnsi="楷体" w:eastAsia="楷体" w:cs="Calibri"/>
          <w:b/>
          <w:sz w:val="24"/>
          <w:szCs w:val="24"/>
        </w:rPr>
        <w:t>争议解决</w:t>
      </w:r>
    </w:p>
    <w:p>
      <w:pPr>
        <w:ind w:firstLine="480" w:firstLineChars="200"/>
        <w:rPr>
          <w:rFonts w:ascii="楷体" w:hAnsi="楷体" w:eastAsia="楷体"/>
          <w:sz w:val="24"/>
          <w:szCs w:val="24"/>
        </w:rPr>
      </w:pPr>
      <w:r>
        <w:rPr>
          <w:rFonts w:hint="eastAsia" w:ascii="楷体" w:hAnsi="楷体" w:eastAsia="楷体"/>
          <w:sz w:val="24"/>
          <w:szCs w:val="24"/>
        </w:rPr>
        <w:t>本合同的订立、生效、履行、解释、修改和终止等事项均适用中华人民共和国（不包括香港特别行政区、澳门特别行政区和台湾地区）法律。因本合同引起的或与本合同有关的任何争议，应当首先通过双方之间的友好协商解决；协商不成的，双方均有权提交产品管理人所在地有管辖权的人民法院诉讼解决。</w:t>
      </w:r>
    </w:p>
    <w:p>
      <w:pPr>
        <w:ind w:firstLine="480" w:firstLineChars="200"/>
        <w:rPr>
          <w:rFonts w:hint="eastAsia" w:ascii="楷体" w:hAnsi="楷体" w:eastAsia="楷体"/>
          <w:sz w:val="24"/>
          <w:szCs w:val="24"/>
        </w:rPr>
      </w:pPr>
      <w:r>
        <w:rPr>
          <w:rFonts w:hint="eastAsia" w:ascii="楷体" w:hAnsi="楷体" w:eastAsia="楷体"/>
          <w:sz w:val="24"/>
          <w:szCs w:val="24"/>
        </w:rPr>
        <w:t>苏银理财有限责任公司将恪守勤勉尽责的原则，合理配置资产组合，为投资者提供专业化的理财服务。投资者应密切关注苏银理财有限责任公司与本产品有关的信息公告，以免造成不必要的损失。</w:t>
      </w:r>
    </w:p>
    <w:p>
      <w:pPr>
        <w:jc w:val="center"/>
        <w:rPr>
          <w:rFonts w:hint="eastAsia" w:ascii="楷体" w:hAnsi="楷体" w:eastAsia="楷体"/>
          <w:b/>
          <w:sz w:val="36"/>
          <w:szCs w:val="36"/>
        </w:rPr>
      </w:pPr>
      <w:r>
        <w:rPr>
          <w:rFonts w:hint="eastAsia" w:ascii="楷体" w:hAnsi="楷体" w:eastAsia="楷体"/>
          <w:sz w:val="24"/>
          <w:szCs w:val="24"/>
        </w:rPr>
        <w:br w:type="page"/>
      </w:r>
      <w:r>
        <w:rPr>
          <w:rFonts w:hint="eastAsia" w:ascii="楷体" w:hAnsi="楷体" w:eastAsia="楷体"/>
          <w:b/>
          <w:sz w:val="36"/>
          <w:szCs w:val="36"/>
        </w:rPr>
        <w:t>苏银理财有限责任公司理财产品投资协议书</w:t>
      </w:r>
    </w:p>
    <w:p>
      <w:pPr>
        <w:jc w:val="center"/>
        <w:rPr>
          <w:rFonts w:hint="eastAsia" w:ascii="楷体" w:hAnsi="楷体" w:eastAsia="楷体"/>
          <w:b/>
          <w:sz w:val="28"/>
          <w:szCs w:val="28"/>
        </w:rPr>
      </w:pPr>
      <w:r>
        <w:rPr>
          <w:rFonts w:hint="eastAsia" w:ascii="楷体" w:hAnsi="楷体" w:eastAsia="楷体"/>
          <w:b/>
          <w:sz w:val="28"/>
          <w:szCs w:val="28"/>
        </w:rPr>
        <w:t>理财非存款、产品有风险、投资须谨慎</w:t>
      </w:r>
    </w:p>
    <w:p>
      <w:pPr>
        <w:ind w:firstLine="480" w:firstLineChars="200"/>
        <w:rPr>
          <w:rFonts w:hint="eastAsia" w:ascii="楷体" w:hAnsi="楷体" w:eastAsia="楷体"/>
          <w:sz w:val="24"/>
          <w:szCs w:val="24"/>
        </w:rPr>
      </w:pPr>
      <w:r>
        <w:rPr>
          <w:rFonts w:hint="eastAsia" w:ascii="楷体" w:hAnsi="楷体" w:eastAsia="楷体"/>
          <w:sz w:val="24"/>
          <w:szCs w:val="24"/>
        </w:rPr>
        <w:t>经甲方（投资人）与乙方（苏银理财有限责任公司，以下简称“苏银理财”）协商一致，就甲方向乙方购买理财产品，达成协议如下：</w:t>
      </w:r>
    </w:p>
    <w:p>
      <w:pPr>
        <w:ind w:firstLine="482" w:firstLineChars="200"/>
        <w:rPr>
          <w:rFonts w:hint="eastAsia" w:ascii="楷体" w:hAnsi="楷体" w:eastAsia="楷体"/>
          <w:b/>
          <w:sz w:val="24"/>
          <w:szCs w:val="24"/>
        </w:rPr>
      </w:pPr>
      <w:r>
        <w:rPr>
          <w:rFonts w:hint="eastAsia" w:ascii="楷体" w:hAnsi="楷体" w:eastAsia="楷体"/>
          <w:b/>
          <w:sz w:val="24"/>
          <w:szCs w:val="24"/>
        </w:rPr>
        <w:t>一、重要声明</w:t>
      </w:r>
    </w:p>
    <w:p>
      <w:pPr>
        <w:ind w:firstLine="480" w:firstLineChars="200"/>
        <w:rPr>
          <w:rFonts w:hint="eastAsia" w:ascii="楷体" w:hAnsi="楷体" w:eastAsia="楷体"/>
          <w:sz w:val="24"/>
          <w:szCs w:val="24"/>
        </w:rPr>
      </w:pPr>
      <w:r>
        <w:rPr>
          <w:rFonts w:hint="eastAsia" w:ascii="楷体" w:hAnsi="楷体" w:eastAsia="楷体"/>
          <w:sz w:val="24"/>
          <w:szCs w:val="24"/>
        </w:rPr>
        <w:t>本投资协议书与理财产品（代理）销售协议书、理财产品说明书、风险揭示书、投资者权益须知等销售文件构成完整的不可分割的理财产品合同。乙方作为理财产品管理人建议投资者在购买对应期次理财产品（以下简称“本理财产品”）前认真阅读相关理财产品合同或咨询专业理财经理。甲方签署本投资协议（含电子渠道确认）则被视为已详细阅读过本投资协议及完整理财产品合同，并充分理解合同条款和潜在风险，自愿购买本理财产品，并遵守本理财产品合同中的各项规定。</w:t>
      </w:r>
    </w:p>
    <w:p>
      <w:pPr>
        <w:ind w:firstLine="482" w:firstLineChars="200"/>
        <w:rPr>
          <w:rFonts w:hint="eastAsia" w:ascii="楷体" w:hAnsi="楷体" w:eastAsia="楷体"/>
          <w:b/>
          <w:sz w:val="24"/>
          <w:szCs w:val="24"/>
          <w:u w:val="single"/>
        </w:rPr>
      </w:pPr>
      <w:r>
        <w:rPr>
          <w:rFonts w:hint="eastAsia" w:ascii="楷体" w:hAnsi="楷体" w:eastAsia="楷体"/>
          <w:b/>
          <w:sz w:val="24"/>
          <w:szCs w:val="24"/>
          <w:u w:val="single"/>
        </w:rPr>
        <w:t>本理财产品不保证本金和收益。受各种市场波动因素影响，本理财产品可能存在包括但不限于政策风险、信用风险、市场风险、流动性风险、管理风险、操作风险、产品不成立风险、兑付延期风险、提前终止风险、信息传递风险、代销风险、标的资产的特别投资风险及其他风险，具体风险因素由乙方在理财产品风险揭示书中揭示。请您充分认识投资风险，谨慎投资。</w:t>
      </w:r>
    </w:p>
    <w:p>
      <w:pPr>
        <w:ind w:firstLine="482" w:firstLineChars="200"/>
        <w:rPr>
          <w:rFonts w:hint="eastAsia" w:ascii="楷体" w:hAnsi="楷体" w:eastAsia="楷体"/>
          <w:b/>
          <w:sz w:val="24"/>
          <w:szCs w:val="24"/>
        </w:rPr>
      </w:pPr>
      <w:r>
        <w:rPr>
          <w:rFonts w:hint="eastAsia" w:ascii="楷体" w:hAnsi="楷体" w:eastAsia="楷体"/>
          <w:b/>
          <w:sz w:val="24"/>
          <w:szCs w:val="24"/>
        </w:rPr>
        <w:t>二、甲方的权利义务</w:t>
      </w:r>
    </w:p>
    <w:p>
      <w:pPr>
        <w:ind w:firstLine="482" w:firstLineChars="200"/>
        <w:rPr>
          <w:rFonts w:hint="eastAsia" w:ascii="楷体" w:hAnsi="楷体" w:eastAsia="楷体"/>
          <w:b/>
          <w:bCs/>
          <w:sz w:val="24"/>
          <w:szCs w:val="24"/>
        </w:rPr>
      </w:pPr>
      <w:r>
        <w:rPr>
          <w:rFonts w:hint="eastAsia" w:ascii="楷体" w:hAnsi="楷体" w:eastAsia="楷体"/>
          <w:b/>
          <w:bCs/>
          <w:sz w:val="24"/>
          <w:szCs w:val="24"/>
        </w:rPr>
        <w:t>甲方声明：</w:t>
      </w:r>
    </w:p>
    <w:p>
      <w:pPr>
        <w:numPr>
          <w:ilvl w:val="0"/>
          <w:numId w:val="43"/>
        </w:numPr>
        <w:ind w:firstLine="480" w:firstLineChars="200"/>
        <w:rPr>
          <w:rFonts w:hint="eastAsia" w:ascii="楷体" w:hAnsi="楷体" w:eastAsia="楷体"/>
          <w:sz w:val="24"/>
          <w:szCs w:val="24"/>
        </w:rPr>
      </w:pPr>
      <w:r>
        <w:rPr>
          <w:rFonts w:hint="eastAsia" w:ascii="楷体" w:hAnsi="楷体" w:eastAsia="楷体"/>
          <w:sz w:val="24"/>
          <w:szCs w:val="24"/>
        </w:rPr>
        <w:t xml:space="preserve">甲方购买理财产品的资金为合法自有资金，不存在使用贷款、发行债券等筹集的非自有资金投资理财产品的情形，甲方承诺投资理财产品使用的资金来源合法合规，并且系为合法之目的投资本理财产品，而非为洗钱等违法犯罪之目的。甲方将配合乙方及销售服务机构开展反洗钱、反恐怖融资及非居民金融账户涉税信息尽职调查等相关法律法规要求的识别客户身份工作，及时、真实、准确、完整地提供身份信息及资金来源信息。 </w:t>
      </w:r>
    </w:p>
    <w:p>
      <w:pPr>
        <w:ind w:firstLine="480" w:firstLineChars="200"/>
        <w:rPr>
          <w:rFonts w:ascii="楷体" w:hAnsi="楷体" w:eastAsia="楷体"/>
          <w:sz w:val="24"/>
          <w:szCs w:val="24"/>
        </w:rPr>
      </w:pPr>
      <w:r>
        <w:rPr>
          <w:rFonts w:hint="eastAsia" w:ascii="楷体" w:hAnsi="楷体" w:eastAsia="楷体"/>
          <w:sz w:val="24"/>
          <w:szCs w:val="24"/>
        </w:rPr>
        <w:t>2. 甲方承诺所提供的所有资料真实、完整、合法、有效，如有变更，甲方应及时到乙方或销售服务机构办理变更手续。若甲方未及时办理相关变更手续，由此导致的一切后果由甲方自行承担，乙方对此不承担任何责任。</w:t>
      </w:r>
    </w:p>
    <w:p>
      <w:pPr>
        <w:ind w:firstLine="480" w:firstLineChars="200"/>
        <w:rPr>
          <w:rFonts w:hint="eastAsia" w:ascii="楷体" w:hAnsi="楷体" w:eastAsia="楷体"/>
          <w:sz w:val="24"/>
          <w:szCs w:val="24"/>
        </w:rPr>
      </w:pPr>
      <w:r>
        <w:rPr>
          <w:rFonts w:hint="eastAsia" w:ascii="楷体" w:hAnsi="楷体" w:eastAsia="楷体"/>
          <w:sz w:val="24"/>
          <w:szCs w:val="24"/>
        </w:rPr>
        <w:t>3. 甲方购买本理财产品的行为即视为对理财产品合同的承认和接受，甲方自取得依据理财产品合同发行的理财产品份额，即成为理财产品投资者和理财产品合同当事人。甲方作为当事人并不以在理财产品合同上书面签章或签字为必要条件。</w:t>
      </w:r>
    </w:p>
    <w:p>
      <w:pPr>
        <w:ind w:firstLine="482" w:firstLineChars="200"/>
        <w:rPr>
          <w:rFonts w:hint="eastAsia" w:ascii="楷体" w:hAnsi="楷体" w:eastAsia="楷体"/>
          <w:b/>
          <w:sz w:val="24"/>
          <w:szCs w:val="24"/>
        </w:rPr>
      </w:pPr>
      <w:r>
        <w:rPr>
          <w:rFonts w:hint="eastAsia" w:ascii="楷体" w:hAnsi="楷体" w:eastAsia="楷体"/>
          <w:b/>
          <w:sz w:val="24"/>
          <w:szCs w:val="24"/>
        </w:rPr>
        <w:t>（一）甲方的权利：</w:t>
      </w:r>
    </w:p>
    <w:p>
      <w:pPr>
        <w:ind w:left="480"/>
        <w:rPr>
          <w:rFonts w:hint="eastAsia" w:ascii="楷体" w:hAnsi="楷体" w:eastAsia="楷体"/>
          <w:sz w:val="24"/>
          <w:szCs w:val="24"/>
        </w:rPr>
      </w:pPr>
      <w:r>
        <w:rPr>
          <w:rFonts w:hint="eastAsia" w:ascii="楷体" w:hAnsi="楷体" w:eastAsia="楷体"/>
          <w:sz w:val="24"/>
          <w:szCs w:val="24"/>
        </w:rPr>
        <w:t>1. 按理财产品合同的约定取得理财收益（如有）；</w:t>
      </w:r>
    </w:p>
    <w:p>
      <w:pPr>
        <w:ind w:left="480"/>
        <w:rPr>
          <w:rFonts w:hint="eastAsia" w:ascii="楷体" w:hAnsi="楷体" w:eastAsia="楷体"/>
          <w:sz w:val="24"/>
          <w:szCs w:val="24"/>
        </w:rPr>
      </w:pPr>
      <w:r>
        <w:rPr>
          <w:rFonts w:hint="eastAsia" w:ascii="楷体" w:hAnsi="楷体" w:eastAsia="楷体"/>
          <w:sz w:val="24"/>
          <w:szCs w:val="24"/>
        </w:rPr>
        <w:t>2. 按理财产品合同的约定查询获得公开披露的理财产品信息资料；</w:t>
      </w:r>
    </w:p>
    <w:p>
      <w:pPr>
        <w:ind w:left="480"/>
        <w:rPr>
          <w:rFonts w:ascii="楷体" w:hAnsi="楷体" w:eastAsia="楷体"/>
          <w:sz w:val="24"/>
          <w:szCs w:val="24"/>
        </w:rPr>
      </w:pPr>
      <w:r>
        <w:rPr>
          <w:rFonts w:hint="eastAsia" w:ascii="楷体" w:hAnsi="楷体" w:eastAsia="楷体"/>
          <w:sz w:val="24"/>
          <w:szCs w:val="24"/>
        </w:rPr>
        <w:t>3. 产品终止后对清算后的理财产品资产净值按理财产品持有份额比例参与</w:t>
      </w:r>
    </w:p>
    <w:p>
      <w:pPr>
        <w:rPr>
          <w:rFonts w:hint="eastAsia" w:ascii="楷体" w:hAnsi="楷体" w:eastAsia="楷体"/>
          <w:sz w:val="24"/>
          <w:szCs w:val="24"/>
        </w:rPr>
      </w:pPr>
      <w:r>
        <w:rPr>
          <w:rFonts w:hint="eastAsia" w:ascii="楷体" w:hAnsi="楷体" w:eastAsia="楷体"/>
          <w:sz w:val="24"/>
          <w:szCs w:val="24"/>
        </w:rPr>
        <w:t>分配；</w:t>
      </w:r>
    </w:p>
    <w:p>
      <w:pPr>
        <w:rPr>
          <w:rFonts w:hint="eastAsia" w:ascii="楷体" w:hAnsi="楷体" w:eastAsia="楷体"/>
          <w:sz w:val="24"/>
          <w:szCs w:val="24"/>
        </w:rPr>
      </w:pPr>
      <w:r>
        <w:rPr>
          <w:rFonts w:hint="eastAsia" w:ascii="楷体" w:hAnsi="楷体" w:eastAsia="楷体"/>
          <w:sz w:val="24"/>
          <w:szCs w:val="24"/>
        </w:rPr>
        <w:t xml:space="preserve">    4. 要求乙方或理财产品托管人及时履行法律法规、理财产品合同所规定的义务；</w:t>
      </w:r>
    </w:p>
    <w:p>
      <w:pPr>
        <w:numPr>
          <w:ilvl w:val="0"/>
          <w:numId w:val="44"/>
        </w:numPr>
        <w:tabs>
          <w:tab w:val="left" w:pos="743"/>
        </w:tabs>
        <w:ind w:left="480"/>
        <w:rPr>
          <w:rFonts w:hint="eastAsia" w:ascii="楷体" w:hAnsi="楷体" w:eastAsia="楷体"/>
          <w:sz w:val="24"/>
          <w:szCs w:val="24"/>
        </w:rPr>
      </w:pPr>
      <w:r>
        <w:rPr>
          <w:rFonts w:hint="eastAsia" w:ascii="楷体" w:hAnsi="楷体" w:eastAsia="楷体"/>
          <w:sz w:val="24"/>
          <w:szCs w:val="24"/>
        </w:rPr>
        <w:t>对乙方、理财产品托管人损害其合法权益的行为而要求予以赔偿；</w:t>
      </w:r>
    </w:p>
    <w:p>
      <w:pPr>
        <w:numPr>
          <w:ilvl w:val="0"/>
          <w:numId w:val="44"/>
        </w:numPr>
        <w:ind w:left="480"/>
        <w:rPr>
          <w:rFonts w:hint="eastAsia" w:ascii="楷体" w:hAnsi="楷体" w:eastAsia="楷体"/>
          <w:sz w:val="24"/>
          <w:szCs w:val="24"/>
        </w:rPr>
      </w:pPr>
      <w:r>
        <w:rPr>
          <w:rFonts w:hint="eastAsia" w:ascii="楷体" w:hAnsi="楷体" w:eastAsia="楷体"/>
          <w:sz w:val="24"/>
          <w:szCs w:val="24"/>
        </w:rPr>
        <w:t>法律法规、理财产品合同规定的其它权利。</w:t>
      </w:r>
    </w:p>
    <w:p>
      <w:pPr>
        <w:ind w:firstLine="482" w:firstLineChars="200"/>
        <w:rPr>
          <w:rFonts w:hint="eastAsia" w:ascii="楷体" w:hAnsi="楷体" w:eastAsia="楷体"/>
          <w:b/>
          <w:sz w:val="24"/>
          <w:szCs w:val="24"/>
        </w:rPr>
      </w:pPr>
      <w:r>
        <w:rPr>
          <w:rFonts w:hint="eastAsia" w:ascii="楷体" w:hAnsi="楷体" w:eastAsia="楷体"/>
          <w:b/>
          <w:sz w:val="24"/>
          <w:szCs w:val="24"/>
        </w:rPr>
        <w:t>（二）甲方的义务：</w:t>
      </w:r>
    </w:p>
    <w:p>
      <w:pPr>
        <w:ind w:left="426"/>
        <w:rPr>
          <w:rFonts w:hint="eastAsia" w:ascii="楷体" w:hAnsi="楷体" w:eastAsia="楷体"/>
          <w:sz w:val="24"/>
          <w:szCs w:val="24"/>
        </w:rPr>
      </w:pPr>
      <w:r>
        <w:rPr>
          <w:rFonts w:hint="eastAsia" w:ascii="楷体" w:hAnsi="楷体" w:eastAsia="楷体"/>
          <w:sz w:val="24"/>
          <w:szCs w:val="24"/>
        </w:rPr>
        <w:t>1. 遵守有关法律法规和理财产品合同的约定；</w:t>
      </w:r>
    </w:p>
    <w:p>
      <w:pPr>
        <w:ind w:firstLine="425"/>
        <w:rPr>
          <w:rFonts w:hint="eastAsia" w:ascii="楷体" w:hAnsi="楷体" w:eastAsia="楷体"/>
          <w:sz w:val="24"/>
          <w:szCs w:val="24"/>
        </w:rPr>
      </w:pPr>
      <w:r>
        <w:rPr>
          <w:rFonts w:hint="eastAsia" w:ascii="楷体" w:hAnsi="楷体" w:eastAsia="楷体"/>
          <w:sz w:val="24"/>
          <w:szCs w:val="24"/>
        </w:rPr>
        <w:t>2. 缴纳理财产品认购、申购和赎回等事宜涉及的款项及理财产品合同规定的费用；</w:t>
      </w:r>
    </w:p>
    <w:p>
      <w:pPr>
        <w:ind w:firstLine="425"/>
        <w:rPr>
          <w:rFonts w:hint="eastAsia" w:ascii="楷体" w:hAnsi="楷体" w:eastAsia="楷体" w:cs="楷体"/>
          <w:sz w:val="24"/>
          <w:szCs w:val="24"/>
        </w:rPr>
      </w:pPr>
      <w:r>
        <w:rPr>
          <w:rFonts w:hint="eastAsia" w:ascii="楷体" w:hAnsi="楷体" w:eastAsia="楷体" w:cs="楷体"/>
          <w:sz w:val="24"/>
          <w:szCs w:val="24"/>
        </w:rPr>
        <w:t>3. 以其对理财产品的投资额为限承担本理财产品亏损或者终止的有限责任；</w:t>
      </w:r>
    </w:p>
    <w:p>
      <w:pPr>
        <w:numPr>
          <w:ilvl w:val="0"/>
          <w:numId w:val="45"/>
        </w:numPr>
        <w:ind w:left="426"/>
        <w:rPr>
          <w:rFonts w:ascii="楷体" w:hAnsi="楷体" w:eastAsia="楷体"/>
          <w:sz w:val="24"/>
          <w:szCs w:val="24"/>
        </w:rPr>
      </w:pPr>
      <w:r>
        <w:rPr>
          <w:rFonts w:hint="eastAsia" w:ascii="楷体" w:hAnsi="楷体" w:eastAsia="楷体"/>
          <w:sz w:val="24"/>
          <w:szCs w:val="24"/>
        </w:rPr>
        <w:t>不从事任何有损本理财产品及本理财产品其他理财产品合同当事人合法</w:t>
      </w:r>
    </w:p>
    <w:p>
      <w:pPr>
        <w:rPr>
          <w:rFonts w:hint="eastAsia" w:ascii="楷体" w:hAnsi="楷体" w:eastAsia="楷体"/>
          <w:sz w:val="24"/>
          <w:szCs w:val="24"/>
        </w:rPr>
      </w:pPr>
      <w:r>
        <w:rPr>
          <w:rFonts w:hint="eastAsia" w:ascii="楷体" w:hAnsi="楷体" w:eastAsia="楷体"/>
          <w:sz w:val="24"/>
          <w:szCs w:val="24"/>
        </w:rPr>
        <w:t>权益的活动；</w:t>
      </w:r>
    </w:p>
    <w:p>
      <w:pPr>
        <w:numPr>
          <w:ilvl w:val="0"/>
          <w:numId w:val="45"/>
        </w:numPr>
        <w:ind w:left="426"/>
        <w:rPr>
          <w:rFonts w:hint="eastAsia" w:ascii="楷体" w:hAnsi="楷体" w:eastAsia="楷体"/>
          <w:sz w:val="24"/>
          <w:szCs w:val="24"/>
        </w:rPr>
      </w:pPr>
      <w:r>
        <w:rPr>
          <w:rFonts w:hint="eastAsia" w:ascii="楷体" w:hAnsi="楷体" w:eastAsia="楷体"/>
          <w:sz w:val="24"/>
          <w:szCs w:val="24"/>
        </w:rPr>
        <w:t>返还其在理财投资过程中取得的不当得利；</w:t>
      </w:r>
    </w:p>
    <w:p>
      <w:pPr>
        <w:numPr>
          <w:ilvl w:val="0"/>
          <w:numId w:val="45"/>
        </w:numPr>
        <w:ind w:left="426"/>
        <w:rPr>
          <w:rFonts w:hint="eastAsia" w:ascii="楷体" w:hAnsi="楷体" w:eastAsia="楷体"/>
          <w:sz w:val="24"/>
          <w:szCs w:val="24"/>
        </w:rPr>
      </w:pPr>
      <w:r>
        <w:rPr>
          <w:rFonts w:hint="eastAsia" w:ascii="楷体" w:hAnsi="楷体" w:eastAsia="楷体"/>
          <w:sz w:val="24"/>
          <w:szCs w:val="24"/>
        </w:rPr>
        <w:t>法律法规以及理财产品合同所规定的其它义务。</w:t>
      </w:r>
    </w:p>
    <w:p>
      <w:pPr>
        <w:ind w:firstLine="482" w:firstLineChars="200"/>
        <w:rPr>
          <w:rFonts w:hint="eastAsia" w:ascii="楷体" w:hAnsi="楷体" w:eastAsia="楷体"/>
          <w:b/>
          <w:sz w:val="24"/>
          <w:szCs w:val="24"/>
        </w:rPr>
      </w:pPr>
      <w:r>
        <w:rPr>
          <w:rFonts w:hint="eastAsia" w:ascii="楷体" w:hAnsi="楷体" w:eastAsia="楷体"/>
          <w:b/>
          <w:sz w:val="24"/>
          <w:szCs w:val="24"/>
        </w:rPr>
        <w:t>三、乙方的权利义务</w:t>
      </w:r>
    </w:p>
    <w:p>
      <w:pPr>
        <w:ind w:firstLine="482" w:firstLineChars="200"/>
        <w:rPr>
          <w:rFonts w:hint="eastAsia" w:ascii="楷体" w:hAnsi="楷体" w:eastAsia="楷体"/>
          <w:b/>
          <w:sz w:val="24"/>
          <w:szCs w:val="24"/>
        </w:rPr>
      </w:pPr>
      <w:r>
        <w:rPr>
          <w:rFonts w:hint="eastAsia" w:ascii="楷体" w:hAnsi="楷体" w:eastAsia="楷体"/>
          <w:b/>
          <w:sz w:val="24"/>
          <w:szCs w:val="24"/>
        </w:rPr>
        <w:t>（一）乙方的权利：</w:t>
      </w:r>
    </w:p>
    <w:p>
      <w:pPr>
        <w:ind w:firstLine="425"/>
        <w:rPr>
          <w:rFonts w:hint="eastAsia" w:ascii="楷体" w:hAnsi="楷体" w:eastAsia="楷体"/>
          <w:sz w:val="24"/>
          <w:szCs w:val="24"/>
        </w:rPr>
      </w:pPr>
      <w:r>
        <w:rPr>
          <w:rFonts w:hint="eastAsia" w:ascii="楷体" w:hAnsi="楷体" w:eastAsia="楷体"/>
          <w:sz w:val="24"/>
          <w:szCs w:val="24"/>
        </w:rPr>
        <w:t>1. 乙方按照法律法规和《理财产品说明书》及《风险揭示书》的约定，诚实信用、谨慎勤勉地实施投资管理行为，以专业技能管理理财产品资产，依法维护理财产品全体投资者的利益；</w:t>
      </w:r>
    </w:p>
    <w:p>
      <w:pPr>
        <w:numPr>
          <w:ilvl w:val="0"/>
          <w:numId w:val="46"/>
        </w:numPr>
        <w:ind w:left="426"/>
        <w:rPr>
          <w:rFonts w:ascii="楷体" w:hAnsi="楷体" w:eastAsia="楷体"/>
          <w:sz w:val="24"/>
          <w:szCs w:val="24"/>
        </w:rPr>
      </w:pPr>
      <w:r>
        <w:rPr>
          <w:rFonts w:hint="eastAsia" w:ascii="楷体" w:hAnsi="楷体" w:eastAsia="楷体"/>
          <w:sz w:val="24"/>
          <w:szCs w:val="24"/>
        </w:rPr>
        <w:t>根据法律法规和理财产品合同的约定，制订、修改并公布有关理财募集、</w:t>
      </w:r>
    </w:p>
    <w:p>
      <w:pPr>
        <w:rPr>
          <w:rFonts w:hint="eastAsia" w:ascii="楷体" w:hAnsi="楷体" w:eastAsia="楷体"/>
          <w:sz w:val="24"/>
          <w:szCs w:val="24"/>
        </w:rPr>
      </w:pPr>
      <w:r>
        <w:rPr>
          <w:rFonts w:hint="eastAsia" w:ascii="楷体" w:hAnsi="楷体" w:eastAsia="楷体"/>
          <w:sz w:val="24"/>
          <w:szCs w:val="24"/>
        </w:rPr>
        <w:t>认购、申购、赎回、非交易过户、冻结、收益分配等方面的业务规则；</w:t>
      </w:r>
    </w:p>
    <w:p>
      <w:pPr>
        <w:numPr>
          <w:ilvl w:val="0"/>
          <w:numId w:val="46"/>
        </w:numPr>
        <w:ind w:left="426"/>
        <w:rPr>
          <w:rFonts w:ascii="楷体" w:hAnsi="楷体" w:eastAsia="楷体"/>
          <w:sz w:val="24"/>
          <w:szCs w:val="24"/>
        </w:rPr>
      </w:pPr>
      <w:r>
        <w:rPr>
          <w:rFonts w:hint="eastAsia" w:ascii="楷体" w:hAnsi="楷体" w:eastAsia="楷体"/>
          <w:sz w:val="24"/>
          <w:szCs w:val="24"/>
        </w:rPr>
        <w:t>根据法律法规和理财产品合同的约定决定本理财产品的相关费率结构和</w:t>
      </w:r>
    </w:p>
    <w:p>
      <w:pPr>
        <w:rPr>
          <w:rFonts w:hint="eastAsia" w:ascii="楷体" w:hAnsi="楷体" w:eastAsia="楷体"/>
          <w:sz w:val="24"/>
          <w:szCs w:val="24"/>
        </w:rPr>
      </w:pPr>
      <w:r>
        <w:rPr>
          <w:rFonts w:hint="eastAsia" w:ascii="楷体" w:hAnsi="楷体" w:eastAsia="楷体"/>
          <w:sz w:val="24"/>
          <w:szCs w:val="24"/>
        </w:rPr>
        <w:t>收费方式，获得理财产品管理费，收取超额业绩报酬（如有）及其它事先批准或公告的合理费用以及法律法规规定的其它费用；</w:t>
      </w:r>
    </w:p>
    <w:p>
      <w:pPr>
        <w:numPr>
          <w:ilvl w:val="0"/>
          <w:numId w:val="46"/>
        </w:numPr>
        <w:ind w:left="426"/>
        <w:rPr>
          <w:rFonts w:ascii="楷体" w:hAnsi="楷体" w:eastAsia="楷体"/>
          <w:sz w:val="24"/>
          <w:szCs w:val="24"/>
        </w:rPr>
      </w:pPr>
      <w:r>
        <w:rPr>
          <w:rFonts w:hint="eastAsia" w:ascii="楷体" w:hAnsi="楷体" w:eastAsia="楷体"/>
          <w:sz w:val="24"/>
          <w:szCs w:val="24"/>
        </w:rPr>
        <w:t>依据法律法规和理财产品合同的约定监督理财产品托管人，如认为理财</w:t>
      </w:r>
    </w:p>
    <w:p>
      <w:pPr>
        <w:rPr>
          <w:rFonts w:hint="eastAsia" w:ascii="楷体" w:hAnsi="楷体" w:eastAsia="楷体"/>
          <w:sz w:val="24"/>
          <w:szCs w:val="24"/>
        </w:rPr>
      </w:pPr>
      <w:r>
        <w:rPr>
          <w:rFonts w:hint="eastAsia" w:ascii="楷体" w:hAnsi="楷体" w:eastAsia="楷体"/>
          <w:sz w:val="24"/>
          <w:szCs w:val="24"/>
        </w:rPr>
        <w:t>产品托管人违反了法律法规或理财产品合同约定，对理财产品资产、其它理财产品合同当事人的利益造成重大损失的，应及时呈报监管机构，以及采取其它必要措施以保护本理财产品及相关理财产品合同当事人的利益；</w:t>
      </w:r>
    </w:p>
    <w:p>
      <w:pPr>
        <w:numPr>
          <w:ilvl w:val="0"/>
          <w:numId w:val="46"/>
        </w:numPr>
        <w:ind w:left="426"/>
        <w:rPr>
          <w:rFonts w:hint="eastAsia" w:ascii="楷体" w:hAnsi="楷体" w:eastAsia="楷体"/>
          <w:sz w:val="24"/>
          <w:szCs w:val="24"/>
        </w:rPr>
      </w:pPr>
      <w:r>
        <w:rPr>
          <w:rFonts w:hint="eastAsia" w:ascii="楷体" w:hAnsi="楷体" w:eastAsia="楷体"/>
          <w:sz w:val="24"/>
          <w:szCs w:val="24"/>
        </w:rPr>
        <w:t>在法律法规允许的前提下，为理财产品的利益依法为理财产品进行融资；</w:t>
      </w:r>
    </w:p>
    <w:p>
      <w:pPr>
        <w:numPr>
          <w:ilvl w:val="0"/>
          <w:numId w:val="46"/>
        </w:numPr>
        <w:ind w:left="426"/>
        <w:rPr>
          <w:rFonts w:ascii="楷体" w:hAnsi="楷体" w:eastAsia="楷体"/>
          <w:sz w:val="24"/>
          <w:szCs w:val="24"/>
        </w:rPr>
      </w:pPr>
      <w:r>
        <w:rPr>
          <w:rFonts w:hint="eastAsia" w:ascii="楷体" w:hAnsi="楷体" w:eastAsia="楷体"/>
          <w:sz w:val="24"/>
          <w:szCs w:val="24"/>
        </w:rPr>
        <w:t>按照法律法规，代表理财产品对被投资企业行使股东权利，代表理财产</w:t>
      </w:r>
    </w:p>
    <w:p>
      <w:pPr>
        <w:rPr>
          <w:rFonts w:hint="eastAsia" w:ascii="楷体" w:hAnsi="楷体" w:eastAsia="楷体"/>
          <w:sz w:val="24"/>
          <w:szCs w:val="24"/>
        </w:rPr>
      </w:pPr>
      <w:r>
        <w:rPr>
          <w:rFonts w:hint="eastAsia" w:ascii="楷体" w:hAnsi="楷体" w:eastAsia="楷体"/>
          <w:sz w:val="24"/>
          <w:szCs w:val="24"/>
        </w:rPr>
        <w:t>品行使因投资于其它证券所产生的权利；</w:t>
      </w:r>
    </w:p>
    <w:p>
      <w:pPr>
        <w:ind w:firstLine="425"/>
        <w:rPr>
          <w:rFonts w:hint="eastAsia" w:ascii="楷体" w:hAnsi="楷体" w:eastAsia="楷体"/>
          <w:sz w:val="24"/>
          <w:szCs w:val="24"/>
        </w:rPr>
      </w:pPr>
      <w:r>
        <w:rPr>
          <w:rFonts w:hint="eastAsia" w:ascii="楷体" w:hAnsi="楷体" w:eastAsia="楷体"/>
          <w:sz w:val="24"/>
          <w:szCs w:val="24"/>
        </w:rPr>
        <w:t>7. 以乙方名义，代表理财份额持有人利益行使诉讼权利或者实施其他法律行为；</w:t>
      </w:r>
    </w:p>
    <w:p>
      <w:pPr>
        <w:numPr>
          <w:ilvl w:val="0"/>
          <w:numId w:val="47"/>
        </w:numPr>
        <w:ind w:left="426"/>
        <w:rPr>
          <w:rFonts w:ascii="楷体" w:hAnsi="楷体" w:eastAsia="楷体"/>
          <w:sz w:val="24"/>
          <w:szCs w:val="24"/>
        </w:rPr>
      </w:pPr>
      <w:r>
        <w:rPr>
          <w:rFonts w:hint="eastAsia" w:ascii="楷体" w:hAnsi="楷体" w:eastAsia="楷体"/>
          <w:sz w:val="24"/>
          <w:szCs w:val="24"/>
        </w:rPr>
        <w:t>选择、更换律师、审计师、证券经纪商或其他为理财产品提供服务的外</w:t>
      </w:r>
    </w:p>
    <w:p>
      <w:pPr>
        <w:rPr>
          <w:rFonts w:hint="eastAsia" w:ascii="楷体" w:hAnsi="楷体" w:eastAsia="楷体"/>
          <w:sz w:val="24"/>
          <w:szCs w:val="24"/>
        </w:rPr>
      </w:pPr>
      <w:r>
        <w:rPr>
          <w:rFonts w:hint="eastAsia" w:ascii="楷体" w:hAnsi="楷体" w:eastAsia="楷体"/>
          <w:sz w:val="24"/>
          <w:szCs w:val="24"/>
        </w:rPr>
        <w:t>部机构并确定有关费率；</w:t>
      </w:r>
    </w:p>
    <w:p>
      <w:pPr>
        <w:numPr>
          <w:ilvl w:val="0"/>
          <w:numId w:val="47"/>
        </w:numPr>
        <w:ind w:left="426"/>
        <w:rPr>
          <w:rFonts w:ascii="楷体" w:hAnsi="楷体" w:eastAsia="楷体"/>
          <w:sz w:val="24"/>
          <w:szCs w:val="24"/>
        </w:rPr>
      </w:pPr>
      <w:r>
        <w:rPr>
          <w:rFonts w:hint="eastAsia" w:ascii="楷体" w:hAnsi="楷体" w:eastAsia="楷体"/>
          <w:sz w:val="24"/>
          <w:szCs w:val="24"/>
        </w:rPr>
        <w:t>法律法规、理财产品合同以及依据理财产品合同制订的其它法律文件所</w:t>
      </w:r>
    </w:p>
    <w:p>
      <w:pPr>
        <w:rPr>
          <w:rFonts w:hint="eastAsia" w:ascii="楷体" w:hAnsi="楷体" w:eastAsia="楷体"/>
          <w:sz w:val="24"/>
          <w:szCs w:val="24"/>
        </w:rPr>
      </w:pPr>
      <w:r>
        <w:rPr>
          <w:rFonts w:hint="eastAsia" w:ascii="楷体" w:hAnsi="楷体" w:eastAsia="楷体"/>
          <w:sz w:val="24"/>
          <w:szCs w:val="24"/>
        </w:rPr>
        <w:t>规定的其它权利。</w:t>
      </w:r>
    </w:p>
    <w:p>
      <w:pPr>
        <w:ind w:firstLine="602" w:firstLineChars="250"/>
        <w:rPr>
          <w:rFonts w:hint="eastAsia" w:ascii="楷体" w:hAnsi="楷体" w:eastAsia="楷体"/>
          <w:b/>
          <w:sz w:val="24"/>
          <w:szCs w:val="24"/>
        </w:rPr>
      </w:pPr>
      <w:r>
        <w:rPr>
          <w:rFonts w:hint="eastAsia" w:ascii="楷体" w:hAnsi="楷体" w:eastAsia="楷体"/>
          <w:b/>
          <w:sz w:val="24"/>
          <w:szCs w:val="24"/>
        </w:rPr>
        <w:t>（二）乙方的义务：</w:t>
      </w:r>
    </w:p>
    <w:p>
      <w:pPr>
        <w:ind w:firstLine="425"/>
        <w:rPr>
          <w:rFonts w:hint="eastAsia" w:ascii="楷体" w:hAnsi="楷体" w:eastAsia="楷体"/>
          <w:sz w:val="24"/>
          <w:szCs w:val="24"/>
        </w:rPr>
      </w:pPr>
      <w:r>
        <w:rPr>
          <w:rFonts w:hint="eastAsia" w:ascii="楷体" w:hAnsi="楷体" w:eastAsia="楷体"/>
          <w:sz w:val="24"/>
          <w:szCs w:val="24"/>
        </w:rPr>
        <w:t>1. 遵守法律法规和理财产品合同的约定；</w:t>
      </w:r>
    </w:p>
    <w:p>
      <w:pPr>
        <w:ind w:firstLine="425"/>
        <w:rPr>
          <w:rFonts w:hint="eastAsia" w:ascii="楷体" w:hAnsi="楷体" w:eastAsia="楷体"/>
          <w:sz w:val="24"/>
          <w:szCs w:val="24"/>
        </w:rPr>
      </w:pPr>
      <w:r>
        <w:rPr>
          <w:rFonts w:hint="eastAsia" w:ascii="楷体" w:hAnsi="楷体" w:eastAsia="楷体"/>
          <w:sz w:val="24"/>
          <w:szCs w:val="24"/>
        </w:rPr>
        <w:t>2. 恪尽职守，依照诚实信用、勤勉尽责的原则，谨慎、有效管理和运用理财资产；</w:t>
      </w:r>
    </w:p>
    <w:p>
      <w:pPr>
        <w:numPr>
          <w:ilvl w:val="0"/>
          <w:numId w:val="48"/>
        </w:numPr>
        <w:ind w:firstLine="425"/>
        <w:rPr>
          <w:rFonts w:ascii="楷体" w:hAnsi="楷体" w:eastAsia="楷体"/>
          <w:sz w:val="24"/>
          <w:szCs w:val="24"/>
        </w:rPr>
      </w:pPr>
      <w:r>
        <w:rPr>
          <w:rFonts w:hint="eastAsia" w:ascii="楷体" w:hAnsi="楷体" w:eastAsia="楷体"/>
          <w:sz w:val="24"/>
          <w:szCs w:val="24"/>
        </w:rPr>
        <w:t>充分考虑本理财产品的特点，设置相应的部门并配备足够的具有专业资</w:t>
      </w:r>
    </w:p>
    <w:p>
      <w:pPr>
        <w:rPr>
          <w:rFonts w:ascii="楷体" w:hAnsi="楷体" w:eastAsia="楷体"/>
          <w:sz w:val="24"/>
          <w:szCs w:val="24"/>
        </w:rPr>
      </w:pPr>
      <w:r>
        <w:rPr>
          <w:rFonts w:hint="eastAsia" w:ascii="楷体" w:hAnsi="楷体" w:eastAsia="楷体"/>
          <w:sz w:val="24"/>
          <w:szCs w:val="24"/>
        </w:rPr>
        <w:t>格的人员进行理财投资分析、决策，以专业化的经营方式管理和运作理财资产，防范和减少风险；</w:t>
      </w:r>
    </w:p>
    <w:p>
      <w:pPr>
        <w:numPr>
          <w:ilvl w:val="0"/>
          <w:numId w:val="48"/>
        </w:numPr>
        <w:ind w:firstLine="425"/>
        <w:rPr>
          <w:rFonts w:ascii="楷体" w:hAnsi="楷体" w:eastAsia="楷体"/>
          <w:sz w:val="24"/>
          <w:szCs w:val="24"/>
        </w:rPr>
      </w:pPr>
      <w:r>
        <w:rPr>
          <w:rFonts w:hint="eastAsia" w:ascii="楷体" w:hAnsi="楷体" w:eastAsia="楷体"/>
          <w:sz w:val="24"/>
          <w:szCs w:val="24"/>
        </w:rPr>
        <w:t>按照法律、行政法规、监管规定和理财产品投资协议、销售协议的约定，</w:t>
      </w:r>
    </w:p>
    <w:p>
      <w:pPr>
        <w:rPr>
          <w:rFonts w:hint="eastAsia" w:ascii="楷体" w:hAnsi="楷体" w:eastAsia="楷体"/>
          <w:sz w:val="24"/>
          <w:szCs w:val="24"/>
        </w:rPr>
      </w:pPr>
      <w:r>
        <w:rPr>
          <w:rFonts w:hint="eastAsia" w:ascii="楷体" w:hAnsi="楷体" w:eastAsia="楷体"/>
          <w:sz w:val="24"/>
          <w:szCs w:val="24"/>
        </w:rPr>
        <w:t>办理理财产品的认（申）购、赎回，不得擅自拒绝接受投资者的认（申）购、赎回申请。暂停或者开放认（申）购、赎回等业务的，应当按照相关规定和投资协议、销售协议约定说明具体原因和依据；</w:t>
      </w:r>
    </w:p>
    <w:p>
      <w:pPr>
        <w:numPr>
          <w:ilvl w:val="0"/>
          <w:numId w:val="48"/>
        </w:numPr>
        <w:ind w:firstLine="425"/>
        <w:rPr>
          <w:rFonts w:ascii="楷体" w:hAnsi="楷体" w:eastAsia="楷体"/>
          <w:sz w:val="24"/>
          <w:szCs w:val="24"/>
        </w:rPr>
      </w:pPr>
      <w:r>
        <w:rPr>
          <w:rFonts w:hint="eastAsia" w:ascii="楷体" w:hAnsi="楷体" w:eastAsia="楷体"/>
          <w:sz w:val="24"/>
          <w:szCs w:val="24"/>
        </w:rPr>
        <w:t>按照法律法规、监管规定、理财产品投资协议书、理财产品说明书、理</w:t>
      </w:r>
    </w:p>
    <w:p>
      <w:pPr>
        <w:rPr>
          <w:rFonts w:hint="eastAsia" w:ascii="楷体" w:hAnsi="楷体" w:eastAsia="楷体"/>
          <w:sz w:val="24"/>
          <w:szCs w:val="24"/>
        </w:rPr>
      </w:pPr>
      <w:r>
        <w:rPr>
          <w:rFonts w:hint="eastAsia" w:ascii="楷体" w:hAnsi="楷体" w:eastAsia="楷体"/>
          <w:sz w:val="24"/>
          <w:szCs w:val="24"/>
        </w:rPr>
        <w:t>财产品（代理）销售协议书等的约定收取销售费用，并如实核算、记账；未经载明，不得对不同投资者适用不同费率；</w:t>
      </w:r>
    </w:p>
    <w:p>
      <w:pPr>
        <w:numPr>
          <w:ilvl w:val="0"/>
          <w:numId w:val="48"/>
        </w:numPr>
        <w:ind w:firstLine="425"/>
        <w:rPr>
          <w:rFonts w:hint="eastAsia" w:ascii="楷体" w:hAnsi="楷体" w:eastAsia="楷体"/>
          <w:sz w:val="24"/>
          <w:szCs w:val="24"/>
        </w:rPr>
      </w:pPr>
      <w:r>
        <w:rPr>
          <w:rFonts w:hint="eastAsia" w:ascii="楷体" w:hAnsi="楷体" w:eastAsia="楷体"/>
          <w:sz w:val="24"/>
          <w:szCs w:val="24"/>
        </w:rPr>
        <w:t>建立健全内部控制制度，保证乙方的固有财产和理财财产相互独立，对所管理的不同理财财产分别管理、分别记账，进行投资；</w:t>
      </w:r>
    </w:p>
    <w:p>
      <w:pPr>
        <w:numPr>
          <w:ilvl w:val="0"/>
          <w:numId w:val="48"/>
        </w:numPr>
        <w:ind w:firstLine="425"/>
        <w:rPr>
          <w:rFonts w:hint="eastAsia" w:ascii="楷体" w:hAnsi="楷体" w:eastAsia="楷体"/>
          <w:sz w:val="24"/>
          <w:szCs w:val="24"/>
        </w:rPr>
      </w:pPr>
      <w:r>
        <w:rPr>
          <w:rFonts w:hint="eastAsia" w:ascii="楷体" w:hAnsi="楷体" w:eastAsia="楷体"/>
          <w:sz w:val="24"/>
          <w:szCs w:val="24"/>
        </w:rPr>
        <w:t>除依据法律法规和理财产品合同的约定外，不得利用理财资产为乙方自身及任何第三方谋取利益；</w:t>
      </w:r>
    </w:p>
    <w:p>
      <w:pPr>
        <w:numPr>
          <w:ilvl w:val="0"/>
          <w:numId w:val="48"/>
        </w:numPr>
        <w:tabs>
          <w:tab w:val="right" w:pos="7881"/>
        </w:tabs>
        <w:ind w:firstLine="425"/>
        <w:rPr>
          <w:rFonts w:hint="eastAsia" w:ascii="楷体" w:hAnsi="楷体" w:eastAsia="楷体"/>
          <w:sz w:val="24"/>
          <w:szCs w:val="24"/>
        </w:rPr>
      </w:pPr>
      <w:r>
        <w:rPr>
          <w:rFonts w:hint="eastAsia" w:ascii="楷体" w:hAnsi="楷体" w:eastAsia="楷体"/>
          <w:sz w:val="24"/>
          <w:szCs w:val="24"/>
        </w:rPr>
        <w:t>除依据法律法规和理财产品合同的约定外，乙方不得委托第三人管</w:t>
      </w:r>
      <w:r>
        <w:rPr>
          <w:rFonts w:hint="eastAsia" w:ascii="楷体" w:hAnsi="楷体" w:eastAsia="楷体"/>
          <w:sz w:val="24"/>
          <w:szCs w:val="24"/>
        </w:rPr>
        <w:tab/>
      </w:r>
      <w:r>
        <w:rPr>
          <w:rFonts w:hint="eastAsia" w:ascii="楷体" w:hAnsi="楷体" w:eastAsia="楷体"/>
          <w:sz w:val="24"/>
          <w:szCs w:val="24"/>
        </w:rPr>
        <w:t>理、运作理财资产；</w:t>
      </w:r>
    </w:p>
    <w:p>
      <w:pPr>
        <w:numPr>
          <w:ilvl w:val="0"/>
          <w:numId w:val="48"/>
        </w:numPr>
        <w:ind w:firstLine="425"/>
        <w:rPr>
          <w:rFonts w:ascii="楷体" w:hAnsi="楷体" w:eastAsia="楷体"/>
          <w:sz w:val="24"/>
          <w:szCs w:val="24"/>
        </w:rPr>
      </w:pPr>
      <w:r>
        <w:rPr>
          <w:rFonts w:hint="eastAsia" w:ascii="楷体" w:hAnsi="楷体" w:eastAsia="楷体"/>
          <w:sz w:val="24"/>
          <w:szCs w:val="24"/>
        </w:rPr>
        <w:t>依照法律、行政法规、规章规定和理财产品合同约定，接受理财产品托</w:t>
      </w:r>
    </w:p>
    <w:p>
      <w:pPr>
        <w:rPr>
          <w:rFonts w:hint="eastAsia" w:ascii="楷体" w:hAnsi="楷体" w:eastAsia="楷体"/>
          <w:sz w:val="24"/>
          <w:szCs w:val="24"/>
        </w:rPr>
      </w:pPr>
      <w:r>
        <w:rPr>
          <w:rFonts w:hint="eastAsia" w:ascii="楷体" w:hAnsi="楷体" w:eastAsia="楷体"/>
          <w:sz w:val="24"/>
          <w:szCs w:val="24"/>
        </w:rPr>
        <w:t>管人对理财产品投资运作的监督；</w:t>
      </w:r>
    </w:p>
    <w:p>
      <w:pPr>
        <w:numPr>
          <w:ilvl w:val="0"/>
          <w:numId w:val="48"/>
        </w:numPr>
        <w:ind w:firstLine="425"/>
        <w:rPr>
          <w:rFonts w:hint="eastAsia" w:ascii="楷体" w:hAnsi="楷体" w:eastAsia="楷体"/>
          <w:sz w:val="24"/>
          <w:szCs w:val="24"/>
        </w:rPr>
      </w:pPr>
      <w:r>
        <w:rPr>
          <w:rFonts w:hint="eastAsia" w:ascii="楷体" w:hAnsi="楷体" w:eastAsia="楷体"/>
          <w:sz w:val="24"/>
          <w:szCs w:val="24"/>
        </w:rPr>
        <w:t>采取所有必要措施对理财产品托管人违反法律法规、理财产品合同和托管协议的行为进行纠正；</w:t>
      </w:r>
    </w:p>
    <w:p>
      <w:pPr>
        <w:numPr>
          <w:ilvl w:val="0"/>
          <w:numId w:val="48"/>
        </w:numPr>
        <w:adjustRightInd w:val="0"/>
        <w:snapToGrid w:val="0"/>
        <w:ind w:firstLine="425"/>
        <w:rPr>
          <w:rFonts w:hint="eastAsia" w:ascii="楷体" w:hAnsi="楷体" w:eastAsia="楷体"/>
          <w:sz w:val="24"/>
          <w:szCs w:val="24"/>
        </w:rPr>
      </w:pPr>
      <w:r>
        <w:rPr>
          <w:rFonts w:hint="eastAsia" w:ascii="楷体" w:hAnsi="楷体" w:eastAsia="楷体"/>
          <w:sz w:val="24"/>
          <w:szCs w:val="24"/>
        </w:rPr>
        <w:t>按规定计算并披露理财产品的资产净值和份额净值；</w:t>
      </w:r>
    </w:p>
    <w:p>
      <w:pPr>
        <w:numPr>
          <w:ilvl w:val="0"/>
          <w:numId w:val="48"/>
        </w:numPr>
        <w:tabs>
          <w:tab w:val="left" w:pos="993"/>
        </w:tabs>
        <w:ind w:firstLine="425"/>
        <w:rPr>
          <w:rFonts w:hint="eastAsia" w:ascii="楷体" w:hAnsi="楷体" w:eastAsia="楷体"/>
          <w:sz w:val="24"/>
          <w:szCs w:val="24"/>
        </w:rPr>
      </w:pPr>
      <w:r>
        <w:rPr>
          <w:rFonts w:hint="eastAsia" w:ascii="楷体" w:hAnsi="楷体" w:eastAsia="楷体"/>
          <w:sz w:val="24"/>
          <w:szCs w:val="24"/>
        </w:rPr>
        <w:t>严格按照法律法规和理财产品合同的约定履行信息披露及报告义务；</w:t>
      </w:r>
    </w:p>
    <w:p>
      <w:pPr>
        <w:numPr>
          <w:ilvl w:val="0"/>
          <w:numId w:val="48"/>
        </w:numPr>
        <w:tabs>
          <w:tab w:val="left" w:pos="993"/>
        </w:tabs>
        <w:ind w:firstLine="425"/>
        <w:rPr>
          <w:rFonts w:ascii="楷体" w:hAnsi="楷体" w:eastAsia="楷体"/>
          <w:sz w:val="24"/>
          <w:szCs w:val="24"/>
        </w:rPr>
      </w:pPr>
      <w:r>
        <w:rPr>
          <w:rFonts w:hint="eastAsia" w:ascii="楷体" w:hAnsi="楷体" w:eastAsia="楷体"/>
          <w:sz w:val="24"/>
          <w:szCs w:val="24"/>
        </w:rPr>
        <w:t>根据相关法律、法规严格履行投资者信息保密责任，除监管机构或司</w:t>
      </w:r>
    </w:p>
    <w:p>
      <w:pPr>
        <w:tabs>
          <w:tab w:val="left" w:pos="993"/>
        </w:tabs>
        <w:rPr>
          <w:rFonts w:hint="eastAsia" w:ascii="楷体" w:hAnsi="楷体" w:eastAsia="楷体" w:cs="楷体"/>
          <w:sz w:val="24"/>
          <w:szCs w:val="24"/>
        </w:rPr>
      </w:pPr>
      <w:r>
        <w:rPr>
          <w:rFonts w:hint="eastAsia" w:ascii="楷体" w:hAnsi="楷体" w:eastAsia="楷体"/>
          <w:sz w:val="24"/>
          <w:szCs w:val="24"/>
        </w:rPr>
        <w:t>法机关等有权机构及本协议另有约定外，不得对其他第三方提供任何投资者信息；</w:t>
      </w:r>
      <w:r>
        <w:rPr>
          <w:rFonts w:hint="eastAsia" w:ascii="楷体" w:hAnsi="楷体" w:eastAsia="楷体" w:cs="楷体"/>
          <w:sz w:val="24"/>
          <w:szCs w:val="24"/>
        </w:rPr>
        <w:t>在乙方办理本协议项下相关事项所必需的情况下，甲方同意并授权乙方向乙方或乙方委托的专业咨询机构提供乙方获取的甲方信息。乙方承诺将向有关第三方明确其保护甲方信息的职责并要求第三方承担相应的保密义务。</w:t>
      </w:r>
    </w:p>
    <w:p>
      <w:pPr>
        <w:tabs>
          <w:tab w:val="left" w:pos="993"/>
        </w:tabs>
        <w:rPr>
          <w:rFonts w:hint="eastAsia" w:ascii="楷体" w:hAnsi="楷体" w:eastAsia="楷体" w:cs="楷体"/>
          <w:sz w:val="24"/>
          <w:szCs w:val="24"/>
        </w:rPr>
      </w:pPr>
      <w:r>
        <w:rPr>
          <w:rFonts w:hint="eastAsia" w:ascii="楷体" w:hAnsi="楷体" w:eastAsia="楷体" w:cs="楷体"/>
          <w:sz w:val="24"/>
          <w:szCs w:val="24"/>
        </w:rPr>
        <w:t xml:space="preserve">    无论本协议终止还是发生各种突发情况，本协议项下乙方和有关第三方的保密义务并不因此终止或中断；</w:t>
      </w:r>
    </w:p>
    <w:p>
      <w:pPr>
        <w:numPr>
          <w:ilvl w:val="0"/>
          <w:numId w:val="48"/>
        </w:numPr>
        <w:tabs>
          <w:tab w:val="left" w:pos="993"/>
        </w:tabs>
        <w:ind w:firstLine="425"/>
        <w:rPr>
          <w:rFonts w:ascii="楷体" w:hAnsi="楷体" w:eastAsia="楷体"/>
          <w:sz w:val="24"/>
          <w:szCs w:val="24"/>
        </w:rPr>
      </w:pPr>
      <w:r>
        <w:rPr>
          <w:rFonts w:hint="eastAsia" w:ascii="楷体" w:hAnsi="楷体" w:eastAsia="楷体"/>
          <w:sz w:val="24"/>
          <w:szCs w:val="24"/>
        </w:rPr>
        <w:t>依据理财产品合同约定制订理财收益分配方案并向本理财产品的理财</w:t>
      </w:r>
    </w:p>
    <w:p>
      <w:pPr>
        <w:tabs>
          <w:tab w:val="left" w:pos="993"/>
        </w:tabs>
        <w:rPr>
          <w:rFonts w:hint="eastAsia" w:ascii="楷体" w:hAnsi="楷体" w:eastAsia="楷体"/>
          <w:sz w:val="24"/>
          <w:szCs w:val="24"/>
        </w:rPr>
      </w:pPr>
      <w:r>
        <w:rPr>
          <w:rFonts w:hint="eastAsia" w:ascii="楷体" w:hAnsi="楷体" w:eastAsia="楷体"/>
          <w:sz w:val="24"/>
          <w:szCs w:val="24"/>
        </w:rPr>
        <w:t>份额持有人分配理财收益（如有）；</w:t>
      </w:r>
    </w:p>
    <w:p>
      <w:pPr>
        <w:numPr>
          <w:ilvl w:val="0"/>
          <w:numId w:val="48"/>
        </w:numPr>
        <w:tabs>
          <w:tab w:val="left" w:pos="993"/>
        </w:tabs>
        <w:ind w:firstLine="425"/>
        <w:rPr>
          <w:rFonts w:hint="eastAsia" w:ascii="楷体" w:hAnsi="楷体" w:eastAsia="楷体"/>
          <w:sz w:val="24"/>
          <w:szCs w:val="24"/>
        </w:rPr>
      </w:pPr>
      <w:r>
        <w:rPr>
          <w:rFonts w:hint="eastAsia" w:ascii="楷体" w:hAnsi="楷体" w:eastAsia="楷体"/>
          <w:sz w:val="24"/>
          <w:szCs w:val="24"/>
        </w:rPr>
        <w:t>监督理财产品托管人按法律法规和理财产品合同约定履行自己的义务。理财产品托管人因过错造成理财资产损失时，乙方应为理财利益向理财产品托管人追索，除法律法规另有规定外，不承担连带责任；</w:t>
      </w:r>
    </w:p>
    <w:p>
      <w:pPr>
        <w:numPr>
          <w:ilvl w:val="0"/>
          <w:numId w:val="48"/>
        </w:numPr>
        <w:tabs>
          <w:tab w:val="left" w:pos="993"/>
        </w:tabs>
        <w:ind w:firstLine="425"/>
        <w:rPr>
          <w:rFonts w:hint="eastAsia" w:ascii="楷体" w:hAnsi="楷体" w:eastAsia="楷体"/>
          <w:sz w:val="24"/>
          <w:szCs w:val="24"/>
        </w:rPr>
      </w:pPr>
      <w:r>
        <w:rPr>
          <w:rFonts w:hint="eastAsia" w:ascii="楷体" w:hAnsi="楷体" w:eastAsia="楷体"/>
          <w:sz w:val="24"/>
          <w:szCs w:val="24"/>
        </w:rPr>
        <w:t>不从事任何有损本理财产品其他当事人合法权益的活动。</w:t>
      </w:r>
    </w:p>
    <w:p>
      <w:pPr>
        <w:ind w:firstLine="482" w:firstLineChars="200"/>
        <w:rPr>
          <w:rFonts w:hint="eastAsia" w:ascii="楷体" w:hAnsi="楷体" w:eastAsia="楷体"/>
          <w:b/>
          <w:sz w:val="24"/>
          <w:szCs w:val="24"/>
        </w:rPr>
      </w:pPr>
      <w:r>
        <w:rPr>
          <w:rFonts w:hint="eastAsia" w:ascii="楷体" w:hAnsi="楷体" w:eastAsia="楷体"/>
          <w:b/>
          <w:sz w:val="24"/>
          <w:szCs w:val="24"/>
        </w:rPr>
        <w:t>四、理财产品的投资管理</w:t>
      </w:r>
    </w:p>
    <w:p>
      <w:pPr>
        <w:ind w:firstLine="480" w:firstLineChars="200"/>
        <w:rPr>
          <w:rFonts w:ascii="楷体" w:hAnsi="楷体" w:eastAsia="楷体"/>
          <w:sz w:val="24"/>
          <w:szCs w:val="24"/>
        </w:rPr>
      </w:pPr>
      <w:r>
        <w:rPr>
          <w:rFonts w:hint="eastAsia" w:ascii="楷体" w:hAnsi="楷体" w:eastAsia="楷体"/>
          <w:sz w:val="24"/>
          <w:szCs w:val="24"/>
        </w:rPr>
        <w:t>1. 本理财产品的产品类型、投资范围、投资比例等产品具体要素和风险信息详见产品说明书、风险揭示书、投资者权益须知等销售文件。</w:t>
      </w:r>
    </w:p>
    <w:p>
      <w:pPr>
        <w:ind w:firstLine="480" w:firstLineChars="200"/>
        <w:rPr>
          <w:rFonts w:ascii="楷体" w:hAnsi="楷体" w:eastAsia="楷体"/>
          <w:sz w:val="24"/>
          <w:szCs w:val="24"/>
        </w:rPr>
      </w:pPr>
      <w:r>
        <w:rPr>
          <w:rFonts w:hint="eastAsia" w:ascii="楷体" w:hAnsi="楷体" w:eastAsia="楷体"/>
          <w:sz w:val="24"/>
          <w:szCs w:val="24"/>
        </w:rPr>
        <w:t>2. 甲方已清楚知悉并同意本协议项下理财产品的投资管理由乙方负责实施。</w:t>
      </w:r>
    </w:p>
    <w:p>
      <w:pPr>
        <w:ind w:firstLine="480" w:firstLineChars="200"/>
        <w:rPr>
          <w:rFonts w:ascii="楷体" w:hAnsi="楷体" w:eastAsia="楷体"/>
          <w:sz w:val="24"/>
          <w:szCs w:val="24"/>
        </w:rPr>
      </w:pPr>
      <w:r>
        <w:rPr>
          <w:rFonts w:hint="eastAsia" w:ascii="楷体" w:hAnsi="楷体" w:eastAsia="楷体"/>
          <w:sz w:val="24"/>
          <w:szCs w:val="24"/>
        </w:rPr>
        <w:t>3. 乙方按照法律法规和产品说明书的约定诚实信用、谨慎勤勉地实施投资管理行为，以专业技能管理理财产品资产，依法维护理财产品全体投资者的利益。</w:t>
      </w:r>
    </w:p>
    <w:p>
      <w:pPr>
        <w:ind w:firstLine="482" w:firstLineChars="200"/>
        <w:rPr>
          <w:rFonts w:ascii="楷体" w:hAnsi="楷体" w:eastAsia="楷体"/>
          <w:sz w:val="24"/>
          <w:szCs w:val="24"/>
        </w:rPr>
      </w:pPr>
      <w:r>
        <w:rPr>
          <w:rFonts w:hint="eastAsia" w:ascii="楷体" w:hAnsi="楷体" w:eastAsia="楷体"/>
          <w:b/>
          <w:bCs/>
          <w:sz w:val="24"/>
          <w:szCs w:val="24"/>
        </w:rPr>
        <w:t>4. 乙方不对任何理财产品的本金或收益做出任何承诺或保证。</w:t>
      </w:r>
    </w:p>
    <w:p>
      <w:pPr>
        <w:ind w:firstLine="480" w:firstLineChars="200"/>
        <w:rPr>
          <w:rFonts w:ascii="楷体" w:hAnsi="楷体" w:eastAsia="楷体"/>
          <w:sz w:val="24"/>
          <w:szCs w:val="24"/>
        </w:rPr>
      </w:pPr>
      <w:r>
        <w:rPr>
          <w:rFonts w:hint="eastAsia" w:ascii="楷体" w:hAnsi="楷体" w:eastAsia="楷体"/>
          <w:sz w:val="24"/>
          <w:szCs w:val="24"/>
        </w:rPr>
        <w:t>5. 乙方依照产品说明书载明的投资范围、投资资产种类、投资比例进行投资，在投资管理过程中,遇市场变化或政策调整导致产品投资范围、投资资产种类、投资比例等暂时超出产品说明书的约定且乙方认为可能对投资者收益产生重大影响时，乙方将及时通过产品说明书约定的披露方式和途径进行披露。</w:t>
      </w:r>
    </w:p>
    <w:p>
      <w:pPr>
        <w:ind w:firstLine="482" w:firstLineChars="200"/>
        <w:rPr>
          <w:rFonts w:ascii="楷体" w:hAnsi="楷体" w:eastAsia="楷体"/>
          <w:sz w:val="24"/>
          <w:szCs w:val="24"/>
        </w:rPr>
      </w:pPr>
      <w:r>
        <w:rPr>
          <w:rFonts w:hint="eastAsia" w:ascii="楷体" w:hAnsi="楷体" w:eastAsia="楷体"/>
          <w:b/>
          <w:bCs/>
          <w:sz w:val="24"/>
          <w:szCs w:val="24"/>
        </w:rPr>
        <w:t>6. 甲方同意乙方依据相关法律法规规定、产品说明书约定或产品投资管理需要选任或委托相关投资管理机构、托管机构等理财投资合作机构；同意乙方以自身名义或理财产品名义签署合同/协议等相关文件；承诺承担乙方履行合同/协议等相关文件产生的法律后果。</w:t>
      </w:r>
    </w:p>
    <w:p>
      <w:pPr>
        <w:ind w:firstLine="480" w:firstLineChars="200"/>
        <w:rPr>
          <w:rFonts w:ascii="楷体" w:hAnsi="楷体" w:eastAsia="楷体"/>
          <w:sz w:val="24"/>
          <w:szCs w:val="24"/>
        </w:rPr>
      </w:pPr>
      <w:r>
        <w:rPr>
          <w:rFonts w:hint="eastAsia" w:ascii="楷体" w:hAnsi="楷体" w:eastAsia="楷体"/>
          <w:sz w:val="24"/>
          <w:szCs w:val="24"/>
        </w:rPr>
        <w:t>7. 为实现理财产品的投资目标及/或维护理财产品全体投资者的利益，乙方有权行使与投资相关的权利、履行相关义务，有权决定理财产品所投基础资产投资的管理、合同/文件条款变更、赎回、处置与披露等事宜，包括但不限于：有权处理基础资产抵质押、担保/增信等事宜、有权决定基础资产及其底层资产投放的先决条件是否放弃或延后、有权决定基础资产投资的相关罚息/违约金/损害赔偿金的降低或免除、利息的降低或免除、有权决定是否同意基础资产的债务人提前还款或立即还款（含全部及部分）或展期及展期条件、有权决定投后监管的执行等。当理财产品的资产安全受到侵害时或发生本理财产品基础资产项下义务人未按时足额付款等情形，乙方有权以自身名义代表理财产品全体投资者采取诉讼或其他权利救济措施。乙方采取上述行动所产生的费用（包括但不限于诉讼费、仲裁费、律师费等全部费用）和法律后果由理财产品全体投资者承担，乙方有权从追索回来的款项中优先扣除。</w:t>
      </w:r>
    </w:p>
    <w:p>
      <w:pPr>
        <w:ind w:firstLine="480" w:firstLineChars="200"/>
        <w:rPr>
          <w:rFonts w:ascii="楷体" w:hAnsi="楷体" w:eastAsia="楷体"/>
          <w:sz w:val="24"/>
          <w:szCs w:val="24"/>
        </w:rPr>
      </w:pPr>
      <w:r>
        <w:rPr>
          <w:rFonts w:hint="eastAsia" w:ascii="楷体" w:hAnsi="楷体" w:eastAsia="楷体"/>
          <w:sz w:val="24"/>
          <w:szCs w:val="24"/>
        </w:rPr>
        <w:t>8. 乙方有权代表投资者参加会议，对相关事项进行表决；乙方有权代表投资者利益，按照法律法规和监管部门相关规定对理财产品投资产生的风险资产进行多种方式的处置，包括但不限于转让、重组、债转股、资产证券化、委外催收、抵债资产收取与处置、破产重整等。</w:t>
      </w:r>
    </w:p>
    <w:p>
      <w:pPr>
        <w:ind w:firstLine="482" w:firstLineChars="200"/>
        <w:rPr>
          <w:rFonts w:ascii="楷体" w:hAnsi="楷体" w:eastAsia="楷体"/>
          <w:sz w:val="24"/>
          <w:szCs w:val="24"/>
        </w:rPr>
      </w:pPr>
      <w:r>
        <w:rPr>
          <w:rFonts w:hint="eastAsia" w:ascii="楷体" w:hAnsi="楷体" w:eastAsia="楷体"/>
          <w:b/>
          <w:bCs/>
          <w:sz w:val="24"/>
          <w:szCs w:val="24"/>
        </w:rPr>
        <w:t>9. 甲方同意乙方在产品说明书约定的投资计划（包括但不限于投资范围、投资资产种类、投资比例等内容）内，依据自身的投资决策流程和风险管理机制做出和实施相关投资管理决定。</w:t>
      </w:r>
    </w:p>
    <w:p>
      <w:pPr>
        <w:ind w:firstLine="425"/>
        <w:rPr>
          <w:rFonts w:hint="eastAsia" w:ascii="楷体" w:hAnsi="楷体" w:eastAsia="楷体"/>
          <w:sz w:val="24"/>
          <w:szCs w:val="24"/>
        </w:rPr>
      </w:pPr>
      <w:r>
        <w:rPr>
          <w:rFonts w:hint="eastAsia" w:ascii="楷体" w:hAnsi="楷体" w:eastAsia="楷体"/>
          <w:sz w:val="24"/>
          <w:szCs w:val="24"/>
        </w:rPr>
        <w:t>10. 出现市场情况变化等情况时，乙方可根据需要做出调整产品说明书约定投资计划的决定，并通过产品说明书约定的途径与方式进行披露。甲方应注意及时就所认购/申购产品的信息进行查询。乙方将本着维护理财产品全体投资者利益的原则依据相关法律法规进行投资计划调整。</w:t>
      </w:r>
    </w:p>
    <w:p>
      <w:pPr>
        <w:ind w:firstLine="482" w:firstLineChars="200"/>
        <w:rPr>
          <w:rFonts w:ascii="楷体" w:hAnsi="楷体" w:eastAsia="楷体"/>
          <w:b/>
          <w:sz w:val="24"/>
          <w:szCs w:val="24"/>
        </w:rPr>
      </w:pPr>
      <w:r>
        <w:rPr>
          <w:rFonts w:ascii="楷体" w:hAnsi="楷体" w:eastAsia="楷体"/>
          <w:b/>
          <w:sz w:val="24"/>
          <w:szCs w:val="24"/>
        </w:rPr>
        <w:t>五</w:t>
      </w:r>
      <w:r>
        <w:rPr>
          <w:rFonts w:hint="eastAsia" w:ascii="楷体" w:hAnsi="楷体" w:eastAsia="楷体"/>
          <w:b/>
          <w:sz w:val="24"/>
          <w:szCs w:val="24"/>
        </w:rPr>
        <w:t>、</w:t>
      </w:r>
      <w:r>
        <w:rPr>
          <w:rFonts w:ascii="楷体" w:hAnsi="楷体" w:eastAsia="楷体"/>
          <w:b/>
          <w:sz w:val="24"/>
          <w:szCs w:val="24"/>
        </w:rPr>
        <w:t>违约责任</w:t>
      </w:r>
    </w:p>
    <w:p>
      <w:pPr>
        <w:ind w:firstLine="480" w:firstLineChars="200"/>
        <w:rPr>
          <w:rFonts w:hint="eastAsia" w:ascii="楷体" w:hAnsi="楷体" w:eastAsia="楷体"/>
          <w:sz w:val="24"/>
          <w:szCs w:val="24"/>
        </w:rPr>
      </w:pPr>
      <w:r>
        <w:rPr>
          <w:rFonts w:hint="eastAsia" w:ascii="楷体" w:hAnsi="楷体" w:eastAsia="楷体"/>
          <w:sz w:val="24"/>
          <w:szCs w:val="24"/>
        </w:rPr>
        <w:t>1. 由于本协议一方当事人的过错，造成本协议不能履行或不能完全履行的，由有过错的一方承担违约责任；如双方同时负有过错，则应由双方各自按照过错程度承担责任。</w:t>
      </w:r>
    </w:p>
    <w:p>
      <w:pPr>
        <w:ind w:firstLine="482" w:firstLineChars="200"/>
        <w:rPr>
          <w:rFonts w:hint="eastAsia" w:ascii="楷体" w:hAnsi="楷体" w:eastAsia="楷体"/>
          <w:sz w:val="24"/>
          <w:szCs w:val="24"/>
        </w:rPr>
      </w:pPr>
      <w:r>
        <w:rPr>
          <w:rFonts w:hint="eastAsia" w:ascii="楷体" w:hAnsi="楷体" w:eastAsia="楷体"/>
          <w:b/>
          <w:sz w:val="24"/>
          <w:szCs w:val="24"/>
        </w:rPr>
        <w:t>2. 双方同意，发生下列情况造成损失时，按以下约定承担责任</w:t>
      </w:r>
      <w:r>
        <w:rPr>
          <w:rFonts w:hint="eastAsia" w:ascii="楷体" w:hAnsi="楷体" w:eastAsia="楷体"/>
          <w:sz w:val="24"/>
          <w:szCs w:val="24"/>
        </w:rPr>
        <w:t>：</w:t>
      </w:r>
    </w:p>
    <w:p>
      <w:pPr>
        <w:ind w:firstLine="480" w:firstLineChars="200"/>
        <w:rPr>
          <w:rFonts w:hint="eastAsia" w:ascii="楷体" w:hAnsi="楷体" w:eastAsia="楷体"/>
          <w:sz w:val="24"/>
          <w:szCs w:val="24"/>
        </w:rPr>
      </w:pPr>
      <w:r>
        <w:rPr>
          <w:rFonts w:hint="eastAsia" w:ascii="楷体" w:hAnsi="楷体" w:eastAsia="楷体"/>
          <w:sz w:val="24"/>
          <w:szCs w:val="24"/>
        </w:rPr>
        <w:t>（1）对由于国家有关法律、法规、规章、政策的变化，监管机构管理规则的修改、紧急措施的出台等原因而导致的相关风险及损失，双方当事人互不承担责任；</w:t>
      </w:r>
    </w:p>
    <w:p>
      <w:pPr>
        <w:ind w:firstLine="480" w:firstLineChars="200"/>
        <w:rPr>
          <w:rFonts w:hint="eastAsia" w:ascii="楷体" w:hAnsi="楷体" w:eastAsia="楷体"/>
          <w:sz w:val="24"/>
          <w:szCs w:val="24"/>
        </w:rPr>
      </w:pPr>
      <w:r>
        <w:rPr>
          <w:rFonts w:hint="eastAsia" w:ascii="楷体" w:hAnsi="楷体" w:eastAsia="楷体"/>
          <w:sz w:val="24"/>
          <w:szCs w:val="24"/>
        </w:rPr>
        <w:t>（2）本协议书中涉及的相关到期日或兑付日如遇节假日，将顺延至下一个工作日，由此产生的风险及损失双方当事人互不承担责任；</w:t>
      </w:r>
    </w:p>
    <w:p>
      <w:pPr>
        <w:ind w:firstLine="480" w:firstLineChars="200"/>
        <w:rPr>
          <w:rFonts w:ascii="楷体" w:hAnsi="楷体" w:eastAsia="楷体"/>
          <w:sz w:val="24"/>
          <w:szCs w:val="24"/>
        </w:rPr>
      </w:pPr>
      <w:r>
        <w:rPr>
          <w:rFonts w:hint="eastAsia" w:ascii="楷体" w:hAnsi="楷体" w:eastAsia="楷体"/>
          <w:sz w:val="24"/>
          <w:szCs w:val="24"/>
        </w:rPr>
        <w:t>（3）</w:t>
      </w:r>
      <w:r>
        <w:rPr>
          <w:rFonts w:hint="eastAsia" w:ascii="楷体" w:hAnsi="楷体" w:eastAsia="楷体"/>
          <w:b/>
          <w:sz w:val="24"/>
          <w:szCs w:val="24"/>
        </w:rPr>
        <w:t>如甲方违反本协议所做的声明和保证，或本产品甲方所涉及的资金被有权机关全部或部分冻结或者扣划，或乙方发现或有合理理由怀疑甲方或其资金存在洗钱、恐怖融资、逃税等嫌疑，乙方有权提前终止本合同，且乙方不承担相应责任，如因此给乙方或产品其他投资者造成损失的，甲方应承担违约责任。</w:t>
      </w:r>
    </w:p>
    <w:p>
      <w:pPr>
        <w:ind w:firstLine="482" w:firstLineChars="200"/>
        <w:rPr>
          <w:rFonts w:hint="eastAsia" w:ascii="楷体" w:hAnsi="楷体" w:eastAsia="楷体"/>
          <w:b/>
          <w:sz w:val="24"/>
          <w:szCs w:val="24"/>
        </w:rPr>
      </w:pPr>
      <w:r>
        <w:rPr>
          <w:rFonts w:hint="eastAsia" w:ascii="楷体" w:hAnsi="楷体" w:eastAsia="楷体"/>
          <w:b/>
          <w:sz w:val="24"/>
          <w:szCs w:val="24"/>
        </w:rPr>
        <w:t>六、免责条款</w:t>
      </w:r>
    </w:p>
    <w:p>
      <w:pPr>
        <w:ind w:firstLine="420"/>
        <w:rPr>
          <w:rFonts w:hint="eastAsia" w:ascii="楷体" w:hAnsi="楷体" w:eastAsia="楷体"/>
          <w:sz w:val="24"/>
          <w:szCs w:val="24"/>
        </w:rPr>
      </w:pPr>
      <w:r>
        <w:rPr>
          <w:rFonts w:hint="eastAsia" w:ascii="楷体" w:hAnsi="楷体" w:eastAsia="楷体"/>
          <w:sz w:val="24"/>
          <w:szCs w:val="24"/>
        </w:rPr>
        <w:t>1. 由于地震、火灾、战争等不可抗力导致的交易中断、延误等风险及损失，乙方不承担责任，但应在条件允许的情况下通知甲方，并采取一切必要的补救措施以减小不可抗力造成的损失。</w:t>
      </w:r>
    </w:p>
    <w:p>
      <w:pPr>
        <w:ind w:firstLine="420"/>
        <w:rPr>
          <w:rFonts w:hint="eastAsia" w:ascii="楷体" w:hAnsi="楷体" w:eastAsia="楷体"/>
          <w:sz w:val="24"/>
          <w:szCs w:val="24"/>
        </w:rPr>
      </w:pPr>
      <w:r>
        <w:rPr>
          <w:rFonts w:hint="eastAsia" w:ascii="楷体" w:hAnsi="楷体" w:eastAsia="楷体"/>
          <w:sz w:val="24"/>
          <w:szCs w:val="24"/>
        </w:rPr>
        <w:t>2. 由于国家的有关法律、法规、规章、政策的改变、紧急措施的出台而导致的风险，乙方不承担责任。</w:t>
      </w:r>
    </w:p>
    <w:p>
      <w:pPr>
        <w:ind w:firstLine="420"/>
        <w:rPr>
          <w:rFonts w:ascii="楷体" w:hAnsi="楷体" w:eastAsia="楷体"/>
          <w:sz w:val="24"/>
          <w:szCs w:val="24"/>
        </w:rPr>
      </w:pPr>
      <w:r>
        <w:rPr>
          <w:rFonts w:hint="eastAsia" w:ascii="楷体" w:hAnsi="楷体" w:eastAsia="楷体"/>
          <w:sz w:val="24"/>
          <w:szCs w:val="24"/>
        </w:rPr>
        <w:t>3. 乙方依照恪尽职守、诚实信用、谨慎勤勉的原则管理和运用理财产品财产，</w:t>
      </w:r>
      <w:r>
        <w:rPr>
          <w:rFonts w:hint="eastAsia" w:ascii="楷体" w:hAnsi="楷体" w:eastAsia="楷体"/>
          <w:b/>
          <w:bCs/>
          <w:sz w:val="24"/>
          <w:szCs w:val="24"/>
        </w:rPr>
        <w:t>但不保证理财产品财产中的认（申）购资金本金不受损失，也不保证一定盈利及最低收益。</w:t>
      </w:r>
      <w:r>
        <w:rPr>
          <w:rFonts w:hint="eastAsia" w:ascii="楷体" w:hAnsi="楷体" w:eastAsia="楷体"/>
          <w:sz w:val="24"/>
          <w:szCs w:val="24"/>
        </w:rPr>
        <w:t>本理财产品运作过程中，乙方依据产品合同约定管理和运用理财产品财产所产生的风险，由理财产品财产及甲方承担。甲方应充分知晓投资运营的相关风险，具体风险详见风险揭示书及理财产品说明书的具体约定，其风险应由甲方自担。</w:t>
      </w:r>
    </w:p>
    <w:p>
      <w:pPr>
        <w:ind w:firstLine="420"/>
        <w:rPr>
          <w:rFonts w:ascii="楷体" w:hAnsi="楷体" w:eastAsia="楷体"/>
          <w:sz w:val="24"/>
          <w:szCs w:val="24"/>
        </w:rPr>
      </w:pPr>
      <w:r>
        <w:rPr>
          <w:rFonts w:hint="eastAsia" w:ascii="楷体" w:hAnsi="楷体" w:eastAsia="楷体"/>
          <w:sz w:val="24"/>
          <w:szCs w:val="24"/>
        </w:rPr>
        <w:t>4. 非因乙方原因（包括但不限于甲方遗失本协议、理财产品合同被盗用、甲方资金账户被司法机关等有权部门冻结、扣划及其他投资者自身原因、投资标的固有风险等原因）造成的损失，乙方不承担责任。</w:t>
      </w:r>
    </w:p>
    <w:p>
      <w:pPr>
        <w:ind w:firstLine="482" w:firstLineChars="200"/>
        <w:rPr>
          <w:rFonts w:ascii="楷体" w:hAnsi="楷体" w:eastAsia="楷体"/>
          <w:b/>
          <w:sz w:val="24"/>
          <w:szCs w:val="24"/>
        </w:rPr>
      </w:pPr>
      <w:r>
        <w:rPr>
          <w:rFonts w:ascii="楷体" w:hAnsi="楷体" w:eastAsia="楷体"/>
          <w:b/>
          <w:sz w:val="24"/>
          <w:szCs w:val="24"/>
        </w:rPr>
        <w:t>七</w:t>
      </w:r>
      <w:r>
        <w:rPr>
          <w:rFonts w:hint="eastAsia" w:ascii="楷体" w:hAnsi="楷体" w:eastAsia="楷体"/>
          <w:b/>
          <w:sz w:val="24"/>
          <w:szCs w:val="24"/>
        </w:rPr>
        <w:t>、</w:t>
      </w:r>
      <w:r>
        <w:rPr>
          <w:rFonts w:ascii="楷体" w:hAnsi="楷体" w:eastAsia="楷体"/>
          <w:b/>
          <w:sz w:val="24"/>
          <w:szCs w:val="24"/>
        </w:rPr>
        <w:t>信息披露</w:t>
      </w:r>
    </w:p>
    <w:p>
      <w:pPr>
        <w:ind w:firstLine="480" w:firstLineChars="200"/>
        <w:rPr>
          <w:rFonts w:hint="eastAsia" w:ascii="楷体" w:hAnsi="楷体" w:eastAsia="楷体"/>
          <w:sz w:val="24"/>
          <w:szCs w:val="24"/>
        </w:rPr>
      </w:pPr>
      <w:r>
        <w:rPr>
          <w:rFonts w:hint="eastAsia" w:ascii="楷体" w:hAnsi="楷体" w:eastAsia="楷体"/>
          <w:sz w:val="24"/>
          <w:szCs w:val="24"/>
        </w:rPr>
        <w:t>1. 本产品存续期间，乙方将以苏银理财或销售服务机构的信息披露渠道（包括但不限于苏银理财或代销机构的营业网点、门户网站、电子销售渠道等）作为本理财产品的信息披露渠道，具体信息披露详见《理财产品说明书》。</w:t>
      </w:r>
    </w:p>
    <w:p>
      <w:pPr>
        <w:ind w:firstLine="480" w:firstLineChars="200"/>
        <w:rPr>
          <w:rFonts w:hint="eastAsia" w:ascii="楷体" w:hAnsi="楷体" w:eastAsia="楷体"/>
          <w:sz w:val="24"/>
          <w:szCs w:val="24"/>
        </w:rPr>
      </w:pPr>
      <w:r>
        <w:rPr>
          <w:rFonts w:hint="eastAsia" w:ascii="楷体" w:hAnsi="楷体" w:eastAsia="楷体"/>
          <w:sz w:val="24"/>
          <w:szCs w:val="24"/>
        </w:rPr>
        <w:t>2. 乙方通过苏银理财或销售服务机构的信息披露渠道发布理财产品有关信息，即视为已适当履行其在本条下的信息披露义务。如乙方或销售服务机构认为需要直接联系甲方的，乙方或销售服务机构将依据本协议书投资者信息中甲方预留的信息进行通知。因甲方原因而导致该等通知失败的，乙方不承担责任。</w:t>
      </w:r>
    </w:p>
    <w:p>
      <w:pPr>
        <w:ind w:firstLine="482" w:firstLineChars="200"/>
        <w:rPr>
          <w:rFonts w:hint="eastAsia" w:ascii="楷体" w:hAnsi="楷体" w:eastAsia="楷体"/>
          <w:b/>
          <w:sz w:val="24"/>
          <w:szCs w:val="24"/>
        </w:rPr>
      </w:pPr>
      <w:r>
        <w:rPr>
          <w:rFonts w:hint="eastAsia" w:ascii="楷体" w:hAnsi="楷体" w:eastAsia="楷体"/>
          <w:b/>
          <w:sz w:val="24"/>
          <w:szCs w:val="24"/>
        </w:rPr>
        <w:t>八、协议的生效、变更及终止</w:t>
      </w:r>
    </w:p>
    <w:p>
      <w:pPr>
        <w:ind w:firstLine="420"/>
        <w:rPr>
          <w:rFonts w:hint="eastAsia" w:ascii="楷体" w:hAnsi="楷体" w:eastAsia="楷体"/>
          <w:sz w:val="24"/>
          <w:szCs w:val="24"/>
        </w:rPr>
      </w:pPr>
      <w:r>
        <w:rPr>
          <w:rFonts w:hint="eastAsia" w:ascii="楷体" w:hAnsi="楷体" w:eastAsia="楷体"/>
          <w:sz w:val="24"/>
          <w:szCs w:val="24"/>
        </w:rPr>
        <w:t>1. 甲方直接通过乙方购买本理财产品，本协议经甲方个人客户签字/机构客户法定代表人签字并加盖公章且乙方加盖公章或业务专用章后生效。甲方通过销售服务机构的网点柜面渠道购买本理财产品，本协议经甲方个人客户签字/机构客户法定代表人签字并加盖公章且成功缴纳购买资金并经乙方系统确认购买份额后生效。甲方通过乙方或销售服务机构电子渠道进行理财交易的，甲方在相应电子页面点击“确定”或“接受”或“已阅读并同意”或“同意”或“提交”或其他同等含义词语，即视为其已签署，表示其同意接受本协议、对应《理财产品说明书》《风险揭示书》和《投资者权益须知》等相关销售文件的全部约定内容，认可其法律约束力。协议各方当事人认可电子渠道所产生电子数据的有效性。本协议生效并不代表甲方认（申）购成功，是否认（申）购成功以及认（申）购的具体金额以乙方最终确认为准。</w:t>
      </w:r>
    </w:p>
    <w:p>
      <w:pPr>
        <w:ind w:firstLine="420"/>
        <w:rPr>
          <w:rStyle w:val="20"/>
        </w:rPr>
      </w:pPr>
      <w:r>
        <w:rPr>
          <w:rFonts w:hint="eastAsia" w:ascii="楷体" w:hAnsi="楷体" w:eastAsia="楷体"/>
          <w:sz w:val="24"/>
          <w:szCs w:val="24"/>
        </w:rPr>
        <w:t>2. 甲方在办理理财产品的购买、赎回等交易后，需通过销售机构营业网点或网上销售平台查询相关交易的确认情况，最终以乙方确认的产品购买金额或赎回份额作为理财产品合同的生效或终止依据。</w:t>
      </w:r>
    </w:p>
    <w:p>
      <w:pPr>
        <w:ind w:firstLine="420"/>
        <w:rPr>
          <w:rFonts w:hint="eastAsia" w:ascii="楷体" w:hAnsi="楷体" w:eastAsia="楷体"/>
          <w:color w:val="0000FF"/>
          <w:sz w:val="24"/>
          <w:szCs w:val="24"/>
        </w:rPr>
      </w:pPr>
      <w:r>
        <w:rPr>
          <w:rFonts w:hint="eastAsia" w:ascii="楷体" w:hAnsi="楷体" w:eastAsia="楷体"/>
          <w:sz w:val="24"/>
          <w:szCs w:val="24"/>
        </w:rPr>
        <w:t>3. 除按《理财</w:t>
      </w:r>
      <w:r>
        <w:rPr>
          <w:rFonts w:hint="eastAsia" w:ascii="楷体" w:hAnsi="楷体" w:eastAsia="楷体" w:cs="浠垮畫"/>
          <w:kern w:val="0"/>
          <w:sz w:val="24"/>
          <w:szCs w:val="24"/>
        </w:rPr>
        <w:t>产品说明书》约定乙方有权提前终止情形外，甲方有违约行为或交易资金被国家有权机关采取保全措施时，乙方有权提前终止本协议。</w:t>
      </w:r>
    </w:p>
    <w:p>
      <w:pPr>
        <w:ind w:firstLine="420"/>
        <w:rPr>
          <w:rFonts w:hint="eastAsia" w:ascii="楷体" w:hAnsi="楷体" w:eastAsia="楷体"/>
          <w:sz w:val="24"/>
          <w:szCs w:val="24"/>
        </w:rPr>
      </w:pPr>
      <w:r>
        <w:rPr>
          <w:rFonts w:hint="eastAsia" w:ascii="楷体" w:hAnsi="楷体" w:eastAsia="楷体"/>
          <w:sz w:val="24"/>
          <w:szCs w:val="24"/>
        </w:rPr>
        <w:t>4. 乙方或代销机构发现或有合理理由怀疑甲方或其资金存在洗钱、恐怖融资、逃税等嫌疑，乙方有权提前终止本协议，造成甲方损失的，乙方不承担责任。</w:t>
      </w:r>
    </w:p>
    <w:p>
      <w:pPr>
        <w:ind w:firstLine="420"/>
        <w:rPr>
          <w:rFonts w:hint="eastAsia" w:ascii="楷体" w:hAnsi="楷体" w:eastAsia="楷体"/>
          <w:sz w:val="24"/>
          <w:szCs w:val="24"/>
        </w:rPr>
      </w:pPr>
      <w:r>
        <w:rPr>
          <w:rFonts w:hint="eastAsia" w:ascii="楷体" w:hAnsi="楷体" w:eastAsia="楷体"/>
          <w:sz w:val="24"/>
          <w:szCs w:val="24"/>
        </w:rPr>
        <w:t>5. 本协议及《理财产品说明书》、《理财产品（代理）销售协议书》项下各方权利义务履行完毕之日，本协议自动终止。</w:t>
      </w:r>
    </w:p>
    <w:p>
      <w:pPr>
        <w:ind w:firstLine="420"/>
        <w:rPr>
          <w:rFonts w:ascii="楷体" w:hAnsi="楷体" w:eastAsia="楷体"/>
          <w:b/>
          <w:sz w:val="24"/>
          <w:szCs w:val="24"/>
        </w:rPr>
      </w:pPr>
      <w:r>
        <w:rPr>
          <w:rFonts w:hint="eastAsia" w:ascii="楷体" w:hAnsi="楷体" w:eastAsia="楷体"/>
          <w:b/>
          <w:sz w:val="24"/>
          <w:szCs w:val="24"/>
        </w:rPr>
        <w:t>九、本合同的订立、生效、履行、解释、修改和终止等事项均适用中华人民共和国（不包括香港特别行政区、澳门特别行政区和台湾地区）法律。</w:t>
      </w:r>
    </w:p>
    <w:p>
      <w:pPr>
        <w:ind w:firstLine="420"/>
        <w:rPr>
          <w:rFonts w:ascii="楷体" w:hAnsi="楷体" w:eastAsia="楷体"/>
          <w:sz w:val="24"/>
          <w:szCs w:val="24"/>
        </w:rPr>
      </w:pPr>
      <w:r>
        <w:rPr>
          <w:rFonts w:hint="eastAsia" w:ascii="楷体" w:hAnsi="楷体" w:eastAsia="楷体"/>
          <w:sz w:val="24"/>
          <w:szCs w:val="24"/>
        </w:rPr>
        <w:t>因本合同引起的或与本合同有关的任何争议，应当首先通过双方之间的友好协商解决；协商不成的，双方均有权提交乙方所在地有管辖权的人民法院诉讼解决。</w:t>
      </w:r>
    </w:p>
    <w:p>
      <w:pPr>
        <w:ind w:firstLine="420"/>
        <w:rPr>
          <w:rFonts w:ascii="楷体" w:hAnsi="楷体" w:eastAsia="楷体"/>
          <w:b/>
          <w:sz w:val="24"/>
          <w:szCs w:val="24"/>
        </w:rPr>
      </w:pPr>
      <w:r>
        <w:rPr>
          <w:rFonts w:hint="eastAsia" w:ascii="楷体" w:hAnsi="楷体" w:eastAsia="楷体"/>
          <w:b/>
          <w:sz w:val="24"/>
          <w:szCs w:val="24"/>
        </w:rPr>
        <w:t>十、本投资协议书未尽事宜，以理财产品说明书、风险揭示书、理财产品（代理）销售协议书、投资者权益须知的约定内容为准。</w:t>
      </w:r>
    </w:p>
    <w:p>
      <w:pPr>
        <w:ind w:firstLine="420"/>
        <w:rPr>
          <w:rFonts w:ascii="楷体" w:hAnsi="楷体" w:eastAsia="楷体"/>
          <w:b/>
          <w:sz w:val="24"/>
          <w:szCs w:val="24"/>
        </w:rPr>
      </w:pPr>
    </w:p>
    <w:p>
      <w:pPr>
        <w:ind w:firstLine="420"/>
        <w:rPr>
          <w:rFonts w:ascii="楷体" w:hAnsi="楷体" w:eastAsia="楷体"/>
          <w:b/>
          <w:sz w:val="24"/>
          <w:szCs w:val="24"/>
        </w:rPr>
      </w:pPr>
    </w:p>
    <w:p>
      <w:pPr>
        <w:ind w:firstLine="420"/>
        <w:rPr>
          <w:rFonts w:hint="eastAsia" w:ascii="楷体" w:hAnsi="楷体" w:eastAsia="楷体"/>
          <w:b/>
          <w:sz w:val="24"/>
          <w:szCs w:val="24"/>
        </w:rPr>
      </w:pPr>
    </w:p>
    <w:p>
      <w:pPr>
        <w:ind w:firstLine="420"/>
        <w:rPr>
          <w:rFonts w:hint="eastAsia" w:ascii="楷体" w:hAnsi="楷体" w:eastAsia="楷体"/>
          <w:sz w:val="24"/>
          <w:szCs w:val="24"/>
        </w:rPr>
      </w:pPr>
    </w:p>
    <w:p>
      <w:pPr>
        <w:rPr>
          <w:rFonts w:hint="eastAsia" w:ascii="楷体" w:hAnsi="楷体" w:eastAsia="楷体"/>
          <w:sz w:val="24"/>
          <w:szCs w:val="24"/>
        </w:rPr>
      </w:pPr>
      <w:r>
        <w:rPr>
          <w:rFonts w:ascii="楷体" w:hAnsi="楷体" w:eastAsia="楷体"/>
          <w:sz w:val="24"/>
          <w:szCs w:val="24"/>
        </w:rPr>
        <w:t>甲方</w:t>
      </w:r>
      <w:r>
        <w:rPr>
          <w:rFonts w:hint="eastAsia" w:ascii="楷体" w:hAnsi="楷体" w:eastAsia="楷体"/>
          <w:sz w:val="24"/>
          <w:szCs w:val="24"/>
        </w:rPr>
        <w:t xml:space="preserve">（个人客户签字）：      </w:t>
      </w:r>
      <w:r>
        <w:rPr>
          <w:rFonts w:ascii="楷体" w:hAnsi="楷体" w:eastAsia="楷体"/>
          <w:sz w:val="24"/>
          <w:szCs w:val="24"/>
        </w:rPr>
        <w:t>甲方</w:t>
      </w:r>
      <w:r>
        <w:rPr>
          <w:rFonts w:hint="eastAsia" w:ascii="楷体" w:hAnsi="楷体" w:eastAsia="楷体"/>
          <w:sz w:val="24"/>
          <w:szCs w:val="24"/>
        </w:rPr>
        <w:t>（机构客户盖章）：</w:t>
      </w:r>
    </w:p>
    <w:p>
      <w:pPr>
        <w:rPr>
          <w:rFonts w:hint="eastAsia" w:ascii="楷体" w:hAnsi="楷体" w:eastAsia="楷体"/>
          <w:sz w:val="24"/>
          <w:szCs w:val="24"/>
        </w:rPr>
      </w:pPr>
    </w:p>
    <w:p>
      <w:pPr>
        <w:rPr>
          <w:rFonts w:hint="eastAsia" w:ascii="楷体" w:hAnsi="楷体" w:eastAsia="楷体"/>
          <w:sz w:val="24"/>
          <w:szCs w:val="24"/>
        </w:rPr>
      </w:pPr>
    </w:p>
    <w:p>
      <w:pPr>
        <w:rPr>
          <w:rFonts w:hint="eastAsia" w:ascii="楷体" w:hAnsi="楷体" w:eastAsia="楷体"/>
          <w:sz w:val="24"/>
          <w:szCs w:val="24"/>
        </w:rPr>
      </w:pPr>
    </w:p>
    <w:p>
      <w:pPr>
        <w:rPr>
          <w:rFonts w:hint="eastAsia" w:ascii="楷体" w:hAnsi="楷体" w:eastAsia="楷体"/>
          <w:sz w:val="24"/>
          <w:szCs w:val="24"/>
        </w:rPr>
      </w:pPr>
      <w:r>
        <w:rPr>
          <w:rFonts w:hint="eastAsia" w:ascii="楷体" w:hAnsi="楷体" w:eastAsia="楷体"/>
        </w:rPr>
        <w:t xml:space="preserve">                               </w:t>
      </w:r>
      <w:r>
        <w:rPr>
          <w:rFonts w:hint="eastAsia" w:ascii="楷体" w:hAnsi="楷体" w:eastAsia="楷体"/>
          <w:sz w:val="24"/>
          <w:szCs w:val="24"/>
        </w:rPr>
        <w:t>机构客户法定代表人或授权代表（签字或盖章）</w:t>
      </w:r>
    </w:p>
    <w:p>
      <w:pPr>
        <w:rPr>
          <w:rFonts w:hint="eastAsia" w:ascii="楷体" w:hAnsi="楷体" w:eastAsia="楷体"/>
          <w:sz w:val="24"/>
          <w:szCs w:val="24"/>
        </w:rPr>
      </w:pPr>
    </w:p>
    <w:p>
      <w:pPr>
        <w:rPr>
          <w:rFonts w:hint="eastAsia" w:ascii="楷体" w:hAnsi="楷体" w:eastAsia="楷体"/>
          <w:sz w:val="24"/>
          <w:szCs w:val="24"/>
        </w:rPr>
      </w:pPr>
    </w:p>
    <w:p>
      <w:pPr>
        <w:rPr>
          <w:rFonts w:hint="eastAsia" w:ascii="楷体" w:hAnsi="楷体" w:eastAsia="楷体"/>
        </w:rPr>
      </w:pPr>
    </w:p>
    <w:p>
      <w:pPr>
        <w:rPr>
          <w:rFonts w:hint="eastAsia" w:ascii="楷体" w:hAnsi="楷体" w:eastAsia="楷体"/>
          <w:sz w:val="24"/>
          <w:szCs w:val="24"/>
        </w:rPr>
      </w:pPr>
      <w:r>
        <w:rPr>
          <w:rFonts w:ascii="楷体" w:hAnsi="楷体" w:eastAsia="楷体"/>
          <w:sz w:val="24"/>
          <w:szCs w:val="24"/>
        </w:rPr>
        <w:t>乙方</w:t>
      </w:r>
      <w:r>
        <w:rPr>
          <w:rFonts w:hint="eastAsia" w:ascii="楷体" w:hAnsi="楷体" w:eastAsia="楷体"/>
          <w:sz w:val="24"/>
          <w:szCs w:val="24"/>
        </w:rPr>
        <w:t>：苏银</w:t>
      </w:r>
      <w:r>
        <w:rPr>
          <w:rFonts w:ascii="楷体" w:hAnsi="楷体" w:eastAsia="楷体"/>
          <w:sz w:val="24"/>
          <w:szCs w:val="24"/>
        </w:rPr>
        <w:t>理财有限责任公司</w:t>
      </w:r>
    </w:p>
    <w:p>
      <w:pPr>
        <w:rPr>
          <w:rFonts w:hint="eastAsia" w:ascii="楷体" w:hAnsi="楷体" w:eastAsia="楷体"/>
          <w:sz w:val="24"/>
          <w:szCs w:val="24"/>
        </w:rPr>
      </w:pPr>
    </w:p>
    <w:p>
      <w:pPr>
        <w:rPr>
          <w:rFonts w:hint="eastAsia" w:ascii="楷体" w:hAnsi="楷体" w:eastAsia="楷体"/>
        </w:rPr>
      </w:pPr>
    </w:p>
    <w:p>
      <w:pPr>
        <w:rPr>
          <w:rFonts w:hint="eastAsia" w:ascii="楷体" w:hAnsi="楷体" w:eastAsia="楷体"/>
          <w:sz w:val="24"/>
          <w:szCs w:val="24"/>
        </w:rPr>
      </w:pPr>
    </w:p>
    <w:p>
      <w:pPr>
        <w:rPr>
          <w:rFonts w:hint="eastAsia" w:ascii="楷体" w:hAnsi="楷体" w:eastAsia="楷体"/>
          <w:sz w:val="24"/>
          <w:szCs w:val="24"/>
        </w:rPr>
      </w:pPr>
    </w:p>
    <w:p>
      <w:pPr>
        <w:rPr>
          <w:rFonts w:hint="eastAsia" w:ascii="楷体" w:hAnsi="楷体" w:eastAsia="楷体"/>
          <w:sz w:val="24"/>
          <w:szCs w:val="24"/>
        </w:rPr>
      </w:pPr>
    </w:p>
    <w:p>
      <w:pPr>
        <w:autoSpaceDE w:val="0"/>
        <w:autoSpaceDN w:val="0"/>
        <w:adjustRightInd w:val="0"/>
        <w:rPr>
          <w:rFonts w:hint="eastAsia" w:ascii="楷体" w:hAnsi="楷体" w:eastAsia="楷体"/>
          <w:sz w:val="24"/>
          <w:szCs w:val="24"/>
        </w:rPr>
      </w:pPr>
      <w:r>
        <w:rPr>
          <w:rFonts w:ascii="楷体" w:hAnsi="楷体" w:eastAsia="楷体"/>
          <w:sz w:val="24"/>
          <w:szCs w:val="24"/>
        </w:rPr>
        <w:t>签署日期：</w:t>
      </w:r>
      <w:r>
        <w:rPr>
          <w:rFonts w:hint="eastAsia" w:ascii="楷体" w:hAnsi="楷体" w:eastAsia="楷体"/>
          <w:sz w:val="24"/>
          <w:szCs w:val="24"/>
        </w:rPr>
        <w:t xml:space="preserve">      </w:t>
      </w:r>
      <w:r>
        <w:rPr>
          <w:rFonts w:ascii="楷体" w:hAnsi="楷体" w:eastAsia="楷体"/>
          <w:sz w:val="24"/>
          <w:szCs w:val="24"/>
        </w:rPr>
        <w:t>年</w:t>
      </w:r>
      <w:r>
        <w:rPr>
          <w:rFonts w:hint="eastAsia" w:ascii="楷体" w:hAnsi="楷体" w:eastAsia="楷体"/>
          <w:sz w:val="24"/>
          <w:szCs w:val="24"/>
        </w:rPr>
        <w:t xml:space="preserve">      </w:t>
      </w:r>
      <w:r>
        <w:rPr>
          <w:rFonts w:ascii="楷体" w:hAnsi="楷体" w:eastAsia="楷体"/>
          <w:sz w:val="24"/>
          <w:szCs w:val="24"/>
        </w:rPr>
        <w:t>月</w:t>
      </w:r>
      <w:r>
        <w:rPr>
          <w:rFonts w:hint="eastAsia" w:ascii="楷体" w:hAnsi="楷体" w:eastAsia="楷体"/>
          <w:sz w:val="24"/>
          <w:szCs w:val="24"/>
        </w:rPr>
        <w:t xml:space="preserve">     日</w:t>
      </w:r>
    </w:p>
    <w:p>
      <w:pPr>
        <w:pStyle w:val="13"/>
        <w:spacing w:before="0" w:beforeAutospacing="0" w:after="0" w:afterAutospacing="0"/>
        <w:jc w:val="center"/>
        <w:rPr>
          <w:rFonts w:hint="eastAsia" w:ascii="楷体" w:hAnsi="楷体" w:eastAsia="楷体"/>
          <w:b/>
          <w:sz w:val="28"/>
          <w:szCs w:val="28"/>
        </w:rPr>
      </w:pPr>
    </w:p>
    <w:p>
      <w:pPr>
        <w:pStyle w:val="13"/>
        <w:spacing w:before="0" w:beforeAutospacing="0" w:after="0" w:afterAutospacing="0"/>
        <w:jc w:val="center"/>
        <w:rPr>
          <w:rFonts w:hint="eastAsia" w:ascii="楷体" w:hAnsi="楷体" w:eastAsia="楷体"/>
          <w:b/>
          <w:sz w:val="28"/>
          <w:szCs w:val="28"/>
        </w:rPr>
      </w:pPr>
    </w:p>
    <w:p>
      <w:pPr>
        <w:pStyle w:val="13"/>
        <w:spacing w:before="0" w:beforeAutospacing="0" w:after="0" w:afterAutospacing="0"/>
        <w:jc w:val="center"/>
        <w:rPr>
          <w:rFonts w:hint="eastAsia" w:ascii="楷体" w:hAnsi="楷体" w:eastAsia="楷体"/>
          <w:b/>
          <w:sz w:val="28"/>
          <w:szCs w:val="28"/>
        </w:rPr>
      </w:pPr>
    </w:p>
    <w:p>
      <w:pPr>
        <w:pStyle w:val="13"/>
        <w:spacing w:before="0" w:beforeAutospacing="0" w:after="0" w:afterAutospacing="0"/>
        <w:jc w:val="center"/>
        <w:rPr>
          <w:rFonts w:hint="eastAsia" w:ascii="楷体" w:hAnsi="楷体" w:eastAsia="楷体"/>
          <w:b/>
          <w:sz w:val="28"/>
          <w:szCs w:val="28"/>
        </w:rPr>
      </w:pPr>
    </w:p>
    <w:p>
      <w:pPr>
        <w:pStyle w:val="13"/>
        <w:spacing w:before="0" w:beforeAutospacing="0" w:after="0" w:afterAutospacing="0"/>
        <w:jc w:val="center"/>
        <w:rPr>
          <w:rFonts w:hint="eastAsia" w:ascii="楷体" w:hAnsi="楷体" w:eastAsia="楷体"/>
          <w:b/>
          <w:sz w:val="28"/>
          <w:szCs w:val="28"/>
        </w:rPr>
      </w:pPr>
    </w:p>
    <w:p>
      <w:pPr>
        <w:pStyle w:val="13"/>
        <w:spacing w:before="0" w:beforeAutospacing="0" w:after="0" w:afterAutospacing="0"/>
        <w:jc w:val="center"/>
        <w:rPr>
          <w:rFonts w:hint="eastAsia" w:ascii="楷体" w:hAnsi="楷体" w:eastAsia="楷体"/>
          <w:b/>
          <w:sz w:val="28"/>
          <w:szCs w:val="28"/>
        </w:rPr>
      </w:pPr>
    </w:p>
    <w:p>
      <w:pPr>
        <w:pStyle w:val="13"/>
        <w:spacing w:before="0" w:beforeAutospacing="0" w:after="0" w:afterAutospacing="0"/>
        <w:jc w:val="center"/>
        <w:rPr>
          <w:rFonts w:hint="eastAsia" w:ascii="楷体" w:hAnsi="楷体" w:eastAsia="楷体"/>
          <w:b/>
          <w:sz w:val="28"/>
          <w:szCs w:val="28"/>
        </w:rPr>
      </w:pPr>
    </w:p>
    <w:p>
      <w:pPr>
        <w:pStyle w:val="13"/>
        <w:spacing w:before="0" w:beforeAutospacing="0" w:after="0" w:afterAutospacing="0"/>
        <w:jc w:val="center"/>
        <w:rPr>
          <w:rFonts w:hint="eastAsia" w:ascii="楷体" w:hAnsi="楷体" w:eastAsia="楷体"/>
          <w:b/>
          <w:sz w:val="28"/>
          <w:szCs w:val="28"/>
        </w:rPr>
      </w:pPr>
    </w:p>
    <w:p>
      <w:pPr>
        <w:pStyle w:val="13"/>
        <w:spacing w:before="0" w:beforeAutospacing="0" w:after="0" w:afterAutospacing="0"/>
        <w:jc w:val="center"/>
        <w:rPr>
          <w:rFonts w:hint="eastAsia" w:ascii="楷体" w:hAnsi="楷体" w:eastAsia="楷体"/>
          <w:b/>
          <w:sz w:val="28"/>
          <w:szCs w:val="28"/>
        </w:rPr>
      </w:pPr>
    </w:p>
    <w:p>
      <w:pPr>
        <w:pStyle w:val="13"/>
        <w:spacing w:before="0" w:beforeAutospacing="0" w:after="0" w:afterAutospacing="0"/>
        <w:jc w:val="center"/>
        <w:rPr>
          <w:rFonts w:hint="eastAsia" w:ascii="楷体" w:hAnsi="楷体" w:eastAsia="楷体"/>
          <w:b/>
          <w:sz w:val="28"/>
          <w:szCs w:val="28"/>
        </w:rPr>
      </w:pPr>
    </w:p>
    <w:p>
      <w:pPr>
        <w:pStyle w:val="13"/>
        <w:spacing w:before="0" w:beforeAutospacing="0" w:after="0" w:afterAutospacing="0"/>
        <w:jc w:val="center"/>
        <w:rPr>
          <w:rFonts w:hint="eastAsia" w:ascii="楷体" w:hAnsi="楷体" w:eastAsia="楷体"/>
          <w:b/>
          <w:sz w:val="28"/>
          <w:szCs w:val="28"/>
        </w:rPr>
      </w:pPr>
    </w:p>
    <w:p>
      <w:pPr>
        <w:pStyle w:val="13"/>
        <w:spacing w:before="0" w:beforeAutospacing="0" w:after="0" w:afterAutospacing="0"/>
        <w:jc w:val="center"/>
        <w:rPr>
          <w:rFonts w:hint="eastAsia" w:ascii="楷体" w:hAnsi="楷体" w:eastAsia="楷体"/>
          <w:b/>
          <w:sz w:val="28"/>
          <w:szCs w:val="28"/>
        </w:rPr>
      </w:pPr>
    </w:p>
    <w:p/>
    <w:sectPr>
      <w:headerReference r:id="rId10" w:type="first"/>
      <w:headerReference r:id="rId8" w:type="default"/>
      <w:footerReference r:id="rId11" w:type="default"/>
      <w:headerReference r:id="rId9"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浠垮畫">
    <w:altName w:val="方正仿宋简体"/>
    <w:panose1 w:val="00000000000000000000"/>
    <w:charset w:val="86"/>
    <w:family w:val="auto"/>
    <w:pitch w:val="default"/>
    <w:sig w:usb0="00000000" w:usb1="00000000" w:usb2="0000001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34</w:t>
    </w:r>
    <w:r>
      <w:rPr>
        <w:b/>
        <w:bCs/>
        <w:sz w:val="24"/>
        <w:szCs w:val="24"/>
      </w:rPr>
      <w:fldChar w:fldCharType="end"/>
    </w: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34</w:t>
    </w:r>
    <w:r>
      <w:rPr>
        <w:b/>
        <w:bCs/>
        <w:sz w:val="24"/>
        <w:szCs w:val="24"/>
      </w:rPr>
      <w:fldChar w:fldCharType="end"/>
    </w:r>
  </w:p>
  <w:p>
    <w:pPr>
      <w:pStyle w:val="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
    <w:p>
      <w:r>
        <w:separator/>
      </w:r>
    </w:p>
  </w:footnote>
  <w:footnote w:type="continuationSeparator" w:id="5">
    <w:p>
      <w:r>
        <w:continuationSeparator/>
      </w:r>
    </w:p>
  </w:footnote>
  <w:footnote w:id="0">
    <w:p>
      <w:pPr>
        <w:pStyle w:val="11"/>
      </w:pPr>
      <w:r>
        <w:rPr>
          <w:rStyle w:val="21"/>
        </w:rPr>
        <w:footnoteRef/>
      </w:r>
      <w:r>
        <w:t xml:space="preserve"> </w:t>
      </w:r>
      <w:r>
        <w:rPr>
          <w:rFonts w:hint="eastAsia" w:ascii="楷体" w:hAnsi="楷体" w:eastAsia="楷体" w:cs="楷体"/>
        </w:rPr>
        <w:t>投资者权益须知的名称和内容以销售机构实际使用为准。</w:t>
      </w:r>
    </w:p>
  </w:footnote>
  <w:footnote w:id="1">
    <w:p>
      <w:pPr>
        <w:pStyle w:val="11"/>
        <w:rPr>
          <w:rFonts w:hint="eastAsia"/>
        </w:rPr>
      </w:pPr>
      <w:r>
        <w:rPr>
          <w:rStyle w:val="21"/>
        </w:rPr>
        <w:footnoteRef/>
      </w:r>
      <w:r>
        <w:t xml:space="preserve"> </w:t>
      </w:r>
      <w:r>
        <w:rPr>
          <w:rFonts w:hint="eastAsia" w:ascii="楷体" w:hAnsi="楷体" w:eastAsia="楷体" w:cs="楷体"/>
        </w:rPr>
        <w:t>理财产品（代理）销售协议书的名称和内容以销售机构实际使用为准。</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bidi w:val="0"/>
      <w:rPr>
        <w:rFonts w:hint="eastAsia" w:ascii="楷体" w:hAnsi="楷体" w:eastAsia="楷体" w:cs="楷体"/>
        <w:b/>
        <w:bCs/>
      </w:rPr>
    </w:pPr>
    <w:r>
      <w:rPr>
        <w:rFonts w:hint="eastAsia" w:ascii="楷体" w:hAnsi="楷体" w:eastAsia="楷体" w:cs="楷体"/>
        <w:b/>
        <w:bCs/>
      </w:rPr>
      <w:drawing>
        <wp:anchor distT="0" distB="0" distL="114300" distR="114300" simplePos="0" relativeHeight="251664384" behindDoc="1" locked="0" layoutInCell="0" allowOverlap="1">
          <wp:simplePos x="0" y="0"/>
          <wp:positionH relativeFrom="margin">
            <wp:align>center</wp:align>
          </wp:positionH>
          <wp:positionV relativeFrom="margin">
            <wp:align>center</wp:align>
          </wp:positionV>
          <wp:extent cx="14444345" cy="10958195"/>
          <wp:effectExtent l="0" t="0" r="14605" b="14605"/>
          <wp:wrapNone/>
          <wp:docPr id="7" name="WordPictureWatermark367144751" descr="苏银理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ordPictureWatermark367144751" descr="苏银理财"/>
                  <pic:cNvPicPr>
                    <a:picLocks noChangeAspect="1"/>
                  </pic:cNvPicPr>
                </pic:nvPicPr>
                <pic:blipFill>
                  <a:blip r:embed="rId1">
                    <a:lum bright="70001" contrast="-70000"/>
                  </a:blip>
                  <a:stretch>
                    <a:fillRect/>
                  </a:stretch>
                </pic:blipFill>
                <pic:spPr>
                  <a:xfrm>
                    <a:off x="0" y="0"/>
                    <a:ext cx="14444345" cy="10958195"/>
                  </a:xfrm>
                  <a:prstGeom prst="rect">
                    <a:avLst/>
                  </a:prstGeom>
                  <a:noFill/>
                  <a:ln>
                    <a:noFill/>
                  </a:ln>
                </pic:spPr>
              </pic:pic>
            </a:graphicData>
          </a:graphic>
        </wp:anchor>
      </w:drawing>
    </w:r>
    <w:r>
      <w:rPr>
        <w:rFonts w:hint="eastAsia" w:ascii="楷体" w:hAnsi="楷体" w:eastAsia="楷体" w:cs="楷体"/>
        <w:b/>
        <w:bCs/>
      </w:rPr>
      <w:drawing>
        <wp:anchor distT="0" distB="0" distL="114300" distR="114300" simplePos="0" relativeHeight="251666432" behindDoc="0" locked="0" layoutInCell="1" allowOverlap="1">
          <wp:simplePos x="0" y="0"/>
          <wp:positionH relativeFrom="column">
            <wp:posOffset>3923665</wp:posOffset>
          </wp:positionH>
          <wp:positionV relativeFrom="paragraph">
            <wp:posOffset>-95250</wp:posOffset>
          </wp:positionV>
          <wp:extent cx="1325245" cy="424815"/>
          <wp:effectExtent l="0" t="0" r="8255" b="13335"/>
          <wp:wrapSquare wrapText="bothSides"/>
          <wp:docPr id="9" name="图片 2" descr="说明: C:\Users\JSYH\Desktop\苏银理财.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说明: C:\Users\JSYH\Desktop\苏银理财.png"/>
                  <pic:cNvPicPr>
                    <a:picLocks noChangeAspect="1"/>
                  </pic:cNvPicPr>
                </pic:nvPicPr>
                <pic:blipFill>
                  <a:blip r:embed="rId2"/>
                  <a:stretch>
                    <a:fillRect/>
                  </a:stretch>
                </pic:blipFill>
                <pic:spPr>
                  <a:xfrm>
                    <a:off x="0" y="0"/>
                    <a:ext cx="1325245" cy="424815"/>
                  </a:xfrm>
                  <a:prstGeom prst="rect">
                    <a:avLst/>
                  </a:prstGeom>
                  <a:noFill/>
                  <a:ln>
                    <a:noFill/>
                  </a:ln>
                </pic:spPr>
              </pic:pic>
            </a:graphicData>
          </a:graphic>
        </wp:anchor>
      </w:drawing>
    </w:r>
    <w:r>
      <w:rPr>
        <w:rFonts w:hint="eastAsia" w:ascii="楷体" w:hAnsi="楷体" w:eastAsia="楷体" w:cs="楷体"/>
        <w:b/>
        <w:bCs/>
      </w:rPr>
      <w:t>理财非存款、产品有风险、投资须谨慎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drawing>
        <wp:anchor distT="0" distB="0" distL="114300" distR="114300" simplePos="0" relativeHeight="251663360" behindDoc="1" locked="0" layoutInCell="0" allowOverlap="1">
          <wp:simplePos x="0" y="0"/>
          <wp:positionH relativeFrom="margin">
            <wp:align>center</wp:align>
          </wp:positionH>
          <wp:positionV relativeFrom="margin">
            <wp:align>center</wp:align>
          </wp:positionV>
          <wp:extent cx="14444345" cy="10958195"/>
          <wp:effectExtent l="0" t="0" r="14605" b="14605"/>
          <wp:wrapNone/>
          <wp:docPr id="6" name="WordPictureWatermark367144750" descr="苏银理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ordPictureWatermark367144750" descr="苏银理财"/>
                  <pic:cNvPicPr>
                    <a:picLocks noChangeAspect="1"/>
                  </pic:cNvPicPr>
                </pic:nvPicPr>
                <pic:blipFill>
                  <a:blip r:embed="rId1">
                    <a:lum bright="70001" contrast="-70000"/>
                  </a:blip>
                  <a:stretch>
                    <a:fillRect/>
                  </a:stretch>
                </pic:blipFill>
                <pic:spPr>
                  <a:xfrm>
                    <a:off x="0" y="0"/>
                    <a:ext cx="14444345" cy="1095819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drawing>
        <wp:anchor distT="0" distB="0" distL="114300" distR="114300" simplePos="0" relativeHeight="251662336" behindDoc="1" locked="0" layoutInCell="0" allowOverlap="1">
          <wp:simplePos x="0" y="0"/>
          <wp:positionH relativeFrom="margin">
            <wp:align>center</wp:align>
          </wp:positionH>
          <wp:positionV relativeFrom="margin">
            <wp:align>center</wp:align>
          </wp:positionV>
          <wp:extent cx="14444345" cy="10958195"/>
          <wp:effectExtent l="0" t="0" r="14605" b="14605"/>
          <wp:wrapNone/>
          <wp:docPr id="5" name="WordPictureWatermark367144749" descr="苏银理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dPictureWatermark367144749" descr="苏银理财"/>
                  <pic:cNvPicPr>
                    <a:picLocks noChangeAspect="1"/>
                  </pic:cNvPicPr>
                </pic:nvPicPr>
                <pic:blipFill>
                  <a:blip r:embed="rId1">
                    <a:lum bright="70001" contrast="-70000"/>
                  </a:blip>
                  <a:stretch>
                    <a:fillRect/>
                  </a:stretch>
                </pic:blipFill>
                <pic:spPr>
                  <a:xfrm>
                    <a:off x="0" y="0"/>
                    <a:ext cx="14444345" cy="10958195"/>
                  </a:xfrm>
                  <a:prstGeom prst="rect">
                    <a:avLst/>
                  </a:prstGeom>
                  <a:noFill/>
                  <a:ln>
                    <a:noFill/>
                  </a:ln>
                </pic:spPr>
              </pic:pic>
            </a:graphicData>
          </a:graphic>
        </wp:anchor>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insoku w:val="0"/>
      <w:overflowPunct w:val="0"/>
      <w:spacing w:before="0" w:line="320" w:lineRule="exact"/>
      <w:ind w:left="20"/>
      <w:jc w:val="both"/>
      <w:rPr>
        <w:rFonts w:ascii="楷体" w:hAnsi="楷体" w:eastAsia="楷体" w:cs="黑体"/>
        <w:b/>
        <w:spacing w:val="-2"/>
        <w:sz w:val="24"/>
        <w:szCs w:val="24"/>
      </w:rPr>
    </w:pPr>
    <w:r>
      <w:rPr>
        <w:rFonts w:ascii="楷体" w:hAnsi="楷体" w:eastAsia="楷体"/>
        <w:b/>
      </w:rP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14444345" cy="10958195"/>
          <wp:effectExtent l="0" t="0" r="14605" b="14605"/>
          <wp:wrapNone/>
          <wp:docPr id="4" name="WordPictureWatermark367128483" descr="苏银理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367128483" descr="苏银理财"/>
                  <pic:cNvPicPr>
                    <a:picLocks noChangeAspect="1"/>
                  </pic:cNvPicPr>
                </pic:nvPicPr>
                <pic:blipFill>
                  <a:blip r:embed="rId1">
                    <a:lum bright="70001" contrast="-70000"/>
                  </a:blip>
                  <a:stretch>
                    <a:fillRect/>
                  </a:stretch>
                </pic:blipFill>
                <pic:spPr>
                  <a:xfrm>
                    <a:off x="0" y="0"/>
                    <a:ext cx="14444345" cy="10958195"/>
                  </a:xfrm>
                  <a:prstGeom prst="rect">
                    <a:avLst/>
                  </a:prstGeom>
                  <a:noFill/>
                  <a:ln>
                    <a:noFill/>
                  </a:ln>
                </pic:spPr>
              </pic:pic>
            </a:graphicData>
          </a:graphic>
        </wp:anchor>
      </w:drawing>
    </w:r>
    <w:r>
      <w:drawing>
        <wp:anchor distT="0" distB="0" distL="114300" distR="114300" simplePos="0" relativeHeight="251665408" behindDoc="0" locked="0" layoutInCell="1" allowOverlap="1">
          <wp:simplePos x="0" y="0"/>
          <wp:positionH relativeFrom="column">
            <wp:posOffset>3923665</wp:posOffset>
          </wp:positionH>
          <wp:positionV relativeFrom="paragraph">
            <wp:posOffset>-95250</wp:posOffset>
          </wp:positionV>
          <wp:extent cx="1325245" cy="424815"/>
          <wp:effectExtent l="0" t="0" r="8255" b="13335"/>
          <wp:wrapSquare wrapText="bothSides"/>
          <wp:docPr id="8" name="图片 1" descr="说明: 说明: C:\Users\JSYH\Desktop\苏银理财.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说明: 说明: C:\Users\JSYH\Desktop\苏银理财.png"/>
                  <pic:cNvPicPr>
                    <a:picLocks noChangeAspect="1"/>
                  </pic:cNvPicPr>
                </pic:nvPicPr>
                <pic:blipFill>
                  <a:blip r:embed="rId2"/>
                  <a:stretch>
                    <a:fillRect/>
                  </a:stretch>
                </pic:blipFill>
                <pic:spPr>
                  <a:xfrm>
                    <a:off x="0" y="0"/>
                    <a:ext cx="1325245" cy="424815"/>
                  </a:xfrm>
                  <a:prstGeom prst="rect">
                    <a:avLst/>
                  </a:prstGeom>
                  <a:noFill/>
                  <a:ln>
                    <a:noFill/>
                  </a:ln>
                </pic:spPr>
              </pic:pic>
            </a:graphicData>
          </a:graphic>
        </wp:anchor>
      </w:drawing>
    </w:r>
    <w:r>
      <w:rPr>
        <w:rFonts w:hint="eastAsia" w:ascii="楷体" w:hAnsi="楷体" w:eastAsia="楷体" w:cs="黑体"/>
        <w:b/>
        <w:bCs/>
        <w:spacing w:val="-2"/>
        <w:sz w:val="24"/>
        <w:szCs w:val="24"/>
      </w:rPr>
      <w:t>理财非存款、产品有风险、投资须谨慎</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14444345" cy="10958195"/>
          <wp:effectExtent l="0" t="0" r="14605" b="14605"/>
          <wp:wrapNone/>
          <wp:docPr id="3" name="WordPictureWatermark367128482" descr="苏银理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367128482" descr="苏银理财"/>
                  <pic:cNvPicPr>
                    <a:picLocks noChangeAspect="1"/>
                  </pic:cNvPicPr>
                </pic:nvPicPr>
                <pic:blipFill>
                  <a:blip r:embed="rId1">
                    <a:lum bright="70001" contrast="-70000"/>
                  </a:blip>
                  <a:stretch>
                    <a:fillRect/>
                  </a:stretch>
                </pic:blipFill>
                <pic:spPr>
                  <a:xfrm>
                    <a:off x="0" y="0"/>
                    <a:ext cx="14444345" cy="10958195"/>
                  </a:xfrm>
                  <a:prstGeom prst="rect">
                    <a:avLst/>
                  </a:prstGeom>
                  <a:noFill/>
                  <a:ln>
                    <a:noFill/>
                  </a:ln>
                </pic:spPr>
              </pic:pic>
            </a:graphicData>
          </a:graphic>
        </wp:anchor>
      </w:drawing>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14444345" cy="10958195"/>
          <wp:effectExtent l="0" t="0" r="14605" b="14605"/>
          <wp:wrapNone/>
          <wp:docPr id="2" name="WordPictureWatermark367128481" descr="苏银理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367128481" descr="苏银理财"/>
                  <pic:cNvPicPr>
                    <a:picLocks noChangeAspect="1"/>
                  </pic:cNvPicPr>
                </pic:nvPicPr>
                <pic:blipFill>
                  <a:blip r:embed="rId1">
                    <a:lum bright="70001" contrast="-70000"/>
                  </a:blip>
                  <a:stretch>
                    <a:fillRect/>
                  </a:stretch>
                </pic:blipFill>
                <pic:spPr>
                  <a:xfrm>
                    <a:off x="0" y="0"/>
                    <a:ext cx="14444345" cy="10958195"/>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55D44A"/>
    <w:multiLevelType w:val="singleLevel"/>
    <w:tmpl w:val="9E55D44A"/>
    <w:lvl w:ilvl="0" w:tentative="0">
      <w:start w:val="3"/>
      <w:numFmt w:val="decimal"/>
      <w:suff w:val="space"/>
      <w:lvlText w:val="%1."/>
      <w:lvlJc w:val="left"/>
    </w:lvl>
  </w:abstractNum>
  <w:abstractNum w:abstractNumId="1">
    <w:nsid w:val="D29BAE0D"/>
    <w:multiLevelType w:val="singleLevel"/>
    <w:tmpl w:val="D29BAE0D"/>
    <w:lvl w:ilvl="0" w:tentative="0">
      <w:start w:val="1"/>
      <w:numFmt w:val="decimal"/>
      <w:suff w:val="space"/>
      <w:lvlText w:val="%1."/>
      <w:lvlJc w:val="left"/>
    </w:lvl>
  </w:abstractNum>
  <w:abstractNum w:abstractNumId="2">
    <w:nsid w:val="ED4BC391"/>
    <w:multiLevelType w:val="singleLevel"/>
    <w:tmpl w:val="ED4BC391"/>
    <w:lvl w:ilvl="0" w:tentative="0">
      <w:start w:val="5"/>
      <w:numFmt w:val="decimal"/>
      <w:suff w:val="space"/>
      <w:lvlText w:val="%1."/>
      <w:lvlJc w:val="left"/>
    </w:lvl>
  </w:abstractNum>
  <w:abstractNum w:abstractNumId="3">
    <w:nsid w:val="EE75D0C4"/>
    <w:multiLevelType w:val="singleLevel"/>
    <w:tmpl w:val="EE75D0C4"/>
    <w:lvl w:ilvl="0" w:tentative="0">
      <w:start w:val="1"/>
      <w:numFmt w:val="decimal"/>
      <w:suff w:val="nothing"/>
      <w:lvlText w:val="（%1）"/>
      <w:lvlJc w:val="left"/>
    </w:lvl>
  </w:abstractNum>
  <w:abstractNum w:abstractNumId="4">
    <w:nsid w:val="F1892878"/>
    <w:multiLevelType w:val="multilevel"/>
    <w:tmpl w:val="F1892878"/>
    <w:lvl w:ilvl="0" w:tentative="0">
      <w:start w:val="1"/>
      <w:numFmt w:val="decimal"/>
      <w:lvlText w:val="（%1）"/>
      <w:lvlJc w:val="left"/>
      <w:pPr>
        <w:ind w:left="1272" w:hanging="420"/>
      </w:pPr>
      <w:rPr>
        <w:rFonts w:hint="default"/>
      </w:rPr>
    </w:lvl>
    <w:lvl w:ilvl="1" w:tentative="0">
      <w:start w:val="1"/>
      <w:numFmt w:val="lowerLetter"/>
      <w:lvlText w:val="%2)"/>
      <w:lvlJc w:val="left"/>
      <w:pPr>
        <w:ind w:left="1692" w:hanging="420"/>
      </w:pPr>
    </w:lvl>
    <w:lvl w:ilvl="2" w:tentative="0">
      <w:start w:val="1"/>
      <w:numFmt w:val="lowerRoman"/>
      <w:lvlText w:val="%3."/>
      <w:lvlJc w:val="right"/>
      <w:pPr>
        <w:ind w:left="2112" w:hanging="420"/>
      </w:pPr>
    </w:lvl>
    <w:lvl w:ilvl="3" w:tentative="0">
      <w:start w:val="1"/>
      <w:numFmt w:val="decimal"/>
      <w:lvlText w:val="%4."/>
      <w:lvlJc w:val="left"/>
      <w:pPr>
        <w:ind w:left="2532" w:hanging="420"/>
      </w:pPr>
    </w:lvl>
    <w:lvl w:ilvl="4" w:tentative="0">
      <w:start w:val="1"/>
      <w:numFmt w:val="lowerLetter"/>
      <w:lvlText w:val="%5)"/>
      <w:lvlJc w:val="left"/>
      <w:pPr>
        <w:ind w:left="2952" w:hanging="420"/>
      </w:pPr>
    </w:lvl>
    <w:lvl w:ilvl="5" w:tentative="0">
      <w:start w:val="1"/>
      <w:numFmt w:val="lowerRoman"/>
      <w:lvlText w:val="%6."/>
      <w:lvlJc w:val="right"/>
      <w:pPr>
        <w:ind w:left="3372" w:hanging="420"/>
      </w:pPr>
    </w:lvl>
    <w:lvl w:ilvl="6" w:tentative="0">
      <w:start w:val="1"/>
      <w:numFmt w:val="decimal"/>
      <w:lvlText w:val="%7."/>
      <w:lvlJc w:val="left"/>
      <w:pPr>
        <w:ind w:left="3792" w:hanging="420"/>
      </w:pPr>
    </w:lvl>
    <w:lvl w:ilvl="7" w:tentative="0">
      <w:start w:val="1"/>
      <w:numFmt w:val="lowerLetter"/>
      <w:lvlText w:val="%8)"/>
      <w:lvlJc w:val="left"/>
      <w:pPr>
        <w:ind w:left="4212" w:hanging="420"/>
      </w:pPr>
    </w:lvl>
    <w:lvl w:ilvl="8" w:tentative="0">
      <w:start w:val="1"/>
      <w:numFmt w:val="lowerRoman"/>
      <w:lvlText w:val="%9."/>
      <w:lvlJc w:val="right"/>
      <w:pPr>
        <w:ind w:left="4632" w:hanging="420"/>
      </w:pPr>
    </w:lvl>
  </w:abstractNum>
  <w:abstractNum w:abstractNumId="5">
    <w:nsid w:val="06977D34"/>
    <w:multiLevelType w:val="multilevel"/>
    <w:tmpl w:val="06977D34"/>
    <w:lvl w:ilvl="0" w:tentative="0">
      <w:start w:val="1"/>
      <w:numFmt w:val="decimal"/>
      <w:lvlText w:val="（%1）"/>
      <w:lvlJc w:val="left"/>
      <w:pPr>
        <w:ind w:left="1272" w:hanging="420"/>
      </w:pPr>
      <w:rPr>
        <w:rFonts w:hint="default"/>
      </w:rPr>
    </w:lvl>
    <w:lvl w:ilvl="1" w:tentative="0">
      <w:start w:val="1"/>
      <w:numFmt w:val="lowerLetter"/>
      <w:lvlText w:val="%2)"/>
      <w:lvlJc w:val="left"/>
      <w:pPr>
        <w:ind w:left="1692" w:hanging="420"/>
      </w:pPr>
    </w:lvl>
    <w:lvl w:ilvl="2" w:tentative="0">
      <w:start w:val="1"/>
      <w:numFmt w:val="lowerRoman"/>
      <w:lvlText w:val="%3."/>
      <w:lvlJc w:val="right"/>
      <w:pPr>
        <w:ind w:left="2112" w:hanging="420"/>
      </w:pPr>
    </w:lvl>
    <w:lvl w:ilvl="3" w:tentative="0">
      <w:start w:val="1"/>
      <w:numFmt w:val="decimal"/>
      <w:lvlText w:val="%4."/>
      <w:lvlJc w:val="left"/>
      <w:pPr>
        <w:ind w:left="2532" w:hanging="420"/>
      </w:pPr>
    </w:lvl>
    <w:lvl w:ilvl="4" w:tentative="0">
      <w:start w:val="1"/>
      <w:numFmt w:val="lowerLetter"/>
      <w:lvlText w:val="%5)"/>
      <w:lvlJc w:val="left"/>
      <w:pPr>
        <w:ind w:left="2952" w:hanging="420"/>
      </w:pPr>
    </w:lvl>
    <w:lvl w:ilvl="5" w:tentative="0">
      <w:start w:val="1"/>
      <w:numFmt w:val="lowerRoman"/>
      <w:lvlText w:val="%6."/>
      <w:lvlJc w:val="right"/>
      <w:pPr>
        <w:ind w:left="3372" w:hanging="420"/>
      </w:pPr>
    </w:lvl>
    <w:lvl w:ilvl="6" w:tentative="0">
      <w:start w:val="1"/>
      <w:numFmt w:val="decimal"/>
      <w:lvlText w:val="%7."/>
      <w:lvlJc w:val="left"/>
      <w:pPr>
        <w:ind w:left="3792" w:hanging="420"/>
      </w:pPr>
    </w:lvl>
    <w:lvl w:ilvl="7" w:tentative="0">
      <w:start w:val="1"/>
      <w:numFmt w:val="lowerLetter"/>
      <w:lvlText w:val="%8)"/>
      <w:lvlJc w:val="left"/>
      <w:pPr>
        <w:ind w:left="4212" w:hanging="420"/>
      </w:pPr>
    </w:lvl>
    <w:lvl w:ilvl="8" w:tentative="0">
      <w:start w:val="1"/>
      <w:numFmt w:val="lowerRoman"/>
      <w:lvlText w:val="%9."/>
      <w:lvlJc w:val="right"/>
      <w:pPr>
        <w:ind w:left="4632" w:hanging="420"/>
      </w:pPr>
    </w:lvl>
  </w:abstractNum>
  <w:abstractNum w:abstractNumId="6">
    <w:nsid w:val="09FF389C"/>
    <w:multiLevelType w:val="multilevel"/>
    <w:tmpl w:val="09FF389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AA62A71"/>
    <w:multiLevelType w:val="multilevel"/>
    <w:tmpl w:val="0AA62A71"/>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C3743EB"/>
    <w:multiLevelType w:val="multilevel"/>
    <w:tmpl w:val="0C3743E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110C2B17"/>
    <w:multiLevelType w:val="multilevel"/>
    <w:tmpl w:val="110C2B1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12E5146A"/>
    <w:multiLevelType w:val="multilevel"/>
    <w:tmpl w:val="12E5146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18278C74"/>
    <w:multiLevelType w:val="singleLevel"/>
    <w:tmpl w:val="18278C74"/>
    <w:lvl w:ilvl="0" w:tentative="0">
      <w:start w:val="2"/>
      <w:numFmt w:val="decimal"/>
      <w:suff w:val="space"/>
      <w:lvlText w:val="%1."/>
      <w:lvlJc w:val="left"/>
    </w:lvl>
  </w:abstractNum>
  <w:abstractNum w:abstractNumId="12">
    <w:nsid w:val="1CA52050"/>
    <w:multiLevelType w:val="multilevel"/>
    <w:tmpl w:val="1CA52050"/>
    <w:lvl w:ilvl="0" w:tentative="0">
      <w:start w:val="1"/>
      <w:numFmt w:val="chineseCountingThousand"/>
      <w:lvlText w:val="%1、"/>
      <w:lvlJc w:val="left"/>
      <w:pPr>
        <w:ind w:left="0" w:firstLine="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3">
    <w:nsid w:val="1E862DFB"/>
    <w:multiLevelType w:val="multilevel"/>
    <w:tmpl w:val="1E862DFB"/>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4">
    <w:nsid w:val="256D729A"/>
    <w:multiLevelType w:val="multilevel"/>
    <w:tmpl w:val="256D729A"/>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284362CC"/>
    <w:multiLevelType w:val="multilevel"/>
    <w:tmpl w:val="284362CC"/>
    <w:lvl w:ilvl="0" w:tentative="0">
      <w:start w:val="1"/>
      <w:numFmt w:val="decimal"/>
      <w:lvlText w:val="（%1）"/>
      <w:lvlJc w:val="left"/>
      <w:pPr>
        <w:ind w:left="1272" w:hanging="420"/>
      </w:pPr>
      <w:rPr>
        <w:rFonts w:hint="default"/>
      </w:rPr>
    </w:lvl>
    <w:lvl w:ilvl="1" w:tentative="0">
      <w:start w:val="1"/>
      <w:numFmt w:val="lowerLetter"/>
      <w:lvlText w:val="%2)"/>
      <w:lvlJc w:val="left"/>
      <w:pPr>
        <w:ind w:left="1692" w:hanging="420"/>
      </w:pPr>
    </w:lvl>
    <w:lvl w:ilvl="2" w:tentative="0">
      <w:start w:val="1"/>
      <w:numFmt w:val="lowerRoman"/>
      <w:lvlText w:val="%3."/>
      <w:lvlJc w:val="right"/>
      <w:pPr>
        <w:ind w:left="2112" w:hanging="420"/>
      </w:pPr>
    </w:lvl>
    <w:lvl w:ilvl="3" w:tentative="0">
      <w:start w:val="1"/>
      <w:numFmt w:val="decimal"/>
      <w:lvlText w:val="%4."/>
      <w:lvlJc w:val="left"/>
      <w:pPr>
        <w:ind w:left="2532" w:hanging="420"/>
      </w:pPr>
    </w:lvl>
    <w:lvl w:ilvl="4" w:tentative="0">
      <w:start w:val="1"/>
      <w:numFmt w:val="lowerLetter"/>
      <w:lvlText w:val="%5)"/>
      <w:lvlJc w:val="left"/>
      <w:pPr>
        <w:ind w:left="2952" w:hanging="420"/>
      </w:pPr>
    </w:lvl>
    <w:lvl w:ilvl="5" w:tentative="0">
      <w:start w:val="1"/>
      <w:numFmt w:val="lowerRoman"/>
      <w:lvlText w:val="%6."/>
      <w:lvlJc w:val="right"/>
      <w:pPr>
        <w:ind w:left="3372" w:hanging="420"/>
      </w:pPr>
    </w:lvl>
    <w:lvl w:ilvl="6" w:tentative="0">
      <w:start w:val="1"/>
      <w:numFmt w:val="decimal"/>
      <w:lvlText w:val="%7."/>
      <w:lvlJc w:val="left"/>
      <w:pPr>
        <w:ind w:left="3792" w:hanging="420"/>
      </w:pPr>
    </w:lvl>
    <w:lvl w:ilvl="7" w:tentative="0">
      <w:start w:val="1"/>
      <w:numFmt w:val="lowerLetter"/>
      <w:lvlText w:val="%8)"/>
      <w:lvlJc w:val="left"/>
      <w:pPr>
        <w:ind w:left="4212" w:hanging="420"/>
      </w:pPr>
    </w:lvl>
    <w:lvl w:ilvl="8" w:tentative="0">
      <w:start w:val="1"/>
      <w:numFmt w:val="lowerRoman"/>
      <w:lvlText w:val="%9."/>
      <w:lvlJc w:val="right"/>
      <w:pPr>
        <w:ind w:left="4632" w:hanging="420"/>
      </w:pPr>
    </w:lvl>
  </w:abstractNum>
  <w:abstractNum w:abstractNumId="16">
    <w:nsid w:val="296D7B4C"/>
    <w:multiLevelType w:val="multilevel"/>
    <w:tmpl w:val="296D7B4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2BB215EF"/>
    <w:multiLevelType w:val="multilevel"/>
    <w:tmpl w:val="2BB215EF"/>
    <w:lvl w:ilvl="0" w:tentative="0">
      <w:start w:val="1"/>
      <w:numFmt w:val="decimal"/>
      <w:lvlText w:val="（%1）"/>
      <w:lvlJc w:val="left"/>
      <w:pPr>
        <w:ind w:left="1272" w:hanging="420"/>
      </w:pPr>
      <w:rPr>
        <w:rFonts w:hint="default"/>
      </w:rPr>
    </w:lvl>
    <w:lvl w:ilvl="1" w:tentative="0">
      <w:start w:val="1"/>
      <w:numFmt w:val="lowerLetter"/>
      <w:lvlText w:val="%2)"/>
      <w:lvlJc w:val="left"/>
      <w:pPr>
        <w:ind w:left="1692" w:hanging="420"/>
      </w:pPr>
    </w:lvl>
    <w:lvl w:ilvl="2" w:tentative="0">
      <w:start w:val="1"/>
      <w:numFmt w:val="lowerRoman"/>
      <w:lvlText w:val="%3."/>
      <w:lvlJc w:val="right"/>
      <w:pPr>
        <w:ind w:left="2112" w:hanging="420"/>
      </w:pPr>
    </w:lvl>
    <w:lvl w:ilvl="3" w:tentative="0">
      <w:start w:val="1"/>
      <w:numFmt w:val="decimal"/>
      <w:lvlText w:val="%4."/>
      <w:lvlJc w:val="left"/>
      <w:pPr>
        <w:ind w:left="2532" w:hanging="420"/>
      </w:pPr>
    </w:lvl>
    <w:lvl w:ilvl="4" w:tentative="0">
      <w:start w:val="1"/>
      <w:numFmt w:val="lowerLetter"/>
      <w:lvlText w:val="%5)"/>
      <w:lvlJc w:val="left"/>
      <w:pPr>
        <w:ind w:left="2952" w:hanging="420"/>
      </w:pPr>
    </w:lvl>
    <w:lvl w:ilvl="5" w:tentative="0">
      <w:start w:val="1"/>
      <w:numFmt w:val="lowerRoman"/>
      <w:lvlText w:val="%6."/>
      <w:lvlJc w:val="right"/>
      <w:pPr>
        <w:ind w:left="3372" w:hanging="420"/>
      </w:pPr>
    </w:lvl>
    <w:lvl w:ilvl="6" w:tentative="0">
      <w:start w:val="1"/>
      <w:numFmt w:val="decimal"/>
      <w:lvlText w:val="%7."/>
      <w:lvlJc w:val="left"/>
      <w:pPr>
        <w:ind w:left="3792" w:hanging="420"/>
      </w:pPr>
    </w:lvl>
    <w:lvl w:ilvl="7" w:tentative="0">
      <w:start w:val="1"/>
      <w:numFmt w:val="lowerLetter"/>
      <w:lvlText w:val="%8)"/>
      <w:lvlJc w:val="left"/>
      <w:pPr>
        <w:ind w:left="4212" w:hanging="420"/>
      </w:pPr>
    </w:lvl>
    <w:lvl w:ilvl="8" w:tentative="0">
      <w:start w:val="1"/>
      <w:numFmt w:val="lowerRoman"/>
      <w:lvlText w:val="%9."/>
      <w:lvlJc w:val="right"/>
      <w:pPr>
        <w:ind w:left="4632" w:hanging="420"/>
      </w:pPr>
    </w:lvl>
  </w:abstractNum>
  <w:abstractNum w:abstractNumId="18">
    <w:nsid w:val="2CE04DEB"/>
    <w:multiLevelType w:val="multilevel"/>
    <w:tmpl w:val="2CE04DEB"/>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2D3D19BD"/>
    <w:multiLevelType w:val="singleLevel"/>
    <w:tmpl w:val="2D3D19BD"/>
    <w:lvl w:ilvl="0" w:tentative="0">
      <w:start w:val="4"/>
      <w:numFmt w:val="decimal"/>
      <w:suff w:val="space"/>
      <w:lvlText w:val="%1."/>
      <w:lvlJc w:val="left"/>
    </w:lvl>
  </w:abstractNum>
  <w:abstractNum w:abstractNumId="20">
    <w:nsid w:val="33266630"/>
    <w:multiLevelType w:val="multilevel"/>
    <w:tmpl w:val="3326663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33DE002A"/>
    <w:multiLevelType w:val="multilevel"/>
    <w:tmpl w:val="33DE002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34304046"/>
    <w:multiLevelType w:val="multilevel"/>
    <w:tmpl w:val="3430404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371F6F60"/>
    <w:multiLevelType w:val="multilevel"/>
    <w:tmpl w:val="371F6F60"/>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4">
    <w:nsid w:val="3FC765AA"/>
    <w:multiLevelType w:val="multilevel"/>
    <w:tmpl w:val="3FC765A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41C02CA7"/>
    <w:multiLevelType w:val="multilevel"/>
    <w:tmpl w:val="41C02CA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45714B71"/>
    <w:multiLevelType w:val="multilevel"/>
    <w:tmpl w:val="45714B7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7">
    <w:nsid w:val="47833841"/>
    <w:multiLevelType w:val="multilevel"/>
    <w:tmpl w:val="47833841"/>
    <w:lvl w:ilvl="0" w:tentative="0">
      <w:start w:val="1"/>
      <w:numFmt w:val="chineseCountingThousand"/>
      <w:lvlText w:val="%1、"/>
      <w:lvlJc w:val="left"/>
      <w:pPr>
        <w:ind w:left="0" w:firstLine="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8">
    <w:nsid w:val="49655AE0"/>
    <w:multiLevelType w:val="multilevel"/>
    <w:tmpl w:val="49655AE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4CC848E7"/>
    <w:multiLevelType w:val="multilevel"/>
    <w:tmpl w:val="4CC848E7"/>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4EFB275F"/>
    <w:multiLevelType w:val="multilevel"/>
    <w:tmpl w:val="4EFB275F"/>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55CB1E63"/>
    <w:multiLevelType w:val="multilevel"/>
    <w:tmpl w:val="55CB1E6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5A1C30FB"/>
    <w:multiLevelType w:val="multilevel"/>
    <w:tmpl w:val="5A1C30F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5D055B78"/>
    <w:multiLevelType w:val="multilevel"/>
    <w:tmpl w:val="5D055B78"/>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67267532"/>
    <w:multiLevelType w:val="multilevel"/>
    <w:tmpl w:val="67267532"/>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6737049F"/>
    <w:multiLevelType w:val="multilevel"/>
    <w:tmpl w:val="6737049F"/>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6B501D7C"/>
    <w:multiLevelType w:val="multilevel"/>
    <w:tmpl w:val="6B501D7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6CA0107E"/>
    <w:multiLevelType w:val="multilevel"/>
    <w:tmpl w:val="6CA0107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6CCD3B1D"/>
    <w:multiLevelType w:val="multilevel"/>
    <w:tmpl w:val="6CCD3B1D"/>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6D244212"/>
    <w:multiLevelType w:val="multilevel"/>
    <w:tmpl w:val="6D244212"/>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6DA47F2C"/>
    <w:multiLevelType w:val="multilevel"/>
    <w:tmpl w:val="6DA47F2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73357784"/>
    <w:multiLevelType w:val="multilevel"/>
    <w:tmpl w:val="73357784"/>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75E52FDD"/>
    <w:multiLevelType w:val="multilevel"/>
    <w:tmpl w:val="75E52FDD"/>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767AF553"/>
    <w:multiLevelType w:val="singleLevel"/>
    <w:tmpl w:val="767AF553"/>
    <w:lvl w:ilvl="0" w:tentative="0">
      <w:start w:val="8"/>
      <w:numFmt w:val="decimal"/>
      <w:suff w:val="space"/>
      <w:lvlText w:val="%1."/>
      <w:lvlJc w:val="left"/>
    </w:lvl>
  </w:abstractNum>
  <w:abstractNum w:abstractNumId="44">
    <w:nsid w:val="77E31909"/>
    <w:multiLevelType w:val="multilevel"/>
    <w:tmpl w:val="77E31909"/>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5">
    <w:nsid w:val="7C3373F8"/>
    <w:multiLevelType w:val="multilevel"/>
    <w:tmpl w:val="7C3373F8"/>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7DB725C8"/>
    <w:multiLevelType w:val="multilevel"/>
    <w:tmpl w:val="7DB725C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4"/>
  </w:num>
  <w:num w:numId="2">
    <w:abstractNumId w:val="14"/>
  </w:num>
  <w:num w:numId="3">
    <w:abstractNumId w:val="41"/>
  </w:num>
  <w:num w:numId="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17"/>
  </w:num>
  <w:num w:numId="8">
    <w:abstractNumId w:val="4"/>
  </w:num>
  <w:num w:numId="9">
    <w:abstractNumId w:val="23"/>
  </w:num>
  <w:num w:numId="10">
    <w:abstractNumId w:val="15"/>
  </w:num>
  <w:num w:numId="11">
    <w:abstractNumId w:val="13"/>
  </w:num>
  <w:num w:numId="12">
    <w:abstractNumId w:val="27"/>
  </w:num>
  <w:num w:numId="13">
    <w:abstractNumId w:val="26"/>
  </w:num>
  <w:num w:numId="14">
    <w:abstractNumId w:val="12"/>
  </w:num>
  <w:num w:numId="15">
    <w:abstractNumId w:val="22"/>
  </w:num>
  <w:num w:numId="16">
    <w:abstractNumId w:val="34"/>
  </w:num>
  <w:num w:numId="17">
    <w:abstractNumId w:val="32"/>
  </w:num>
  <w:num w:numId="18">
    <w:abstractNumId w:val="37"/>
  </w:num>
  <w:num w:numId="19">
    <w:abstractNumId w:val="16"/>
  </w:num>
  <w:num w:numId="20">
    <w:abstractNumId w:val="25"/>
  </w:num>
  <w:num w:numId="21">
    <w:abstractNumId w:val="3"/>
  </w:num>
  <w:num w:numId="22">
    <w:abstractNumId w:val="42"/>
  </w:num>
  <w:num w:numId="23">
    <w:abstractNumId w:val="29"/>
  </w:num>
  <w:num w:numId="24">
    <w:abstractNumId w:val="30"/>
  </w:num>
  <w:num w:numId="25">
    <w:abstractNumId w:val="9"/>
  </w:num>
  <w:num w:numId="26">
    <w:abstractNumId w:val="8"/>
  </w:num>
  <w:num w:numId="27">
    <w:abstractNumId w:val="18"/>
  </w:num>
  <w:num w:numId="28">
    <w:abstractNumId w:val="10"/>
  </w:num>
  <w:num w:numId="29">
    <w:abstractNumId w:val="20"/>
  </w:num>
  <w:num w:numId="30">
    <w:abstractNumId w:val="36"/>
  </w:num>
  <w:num w:numId="31">
    <w:abstractNumId w:val="7"/>
  </w:num>
  <w:num w:numId="32">
    <w:abstractNumId w:val="38"/>
  </w:num>
  <w:num w:numId="33">
    <w:abstractNumId w:val="31"/>
  </w:num>
  <w:num w:numId="34">
    <w:abstractNumId w:val="39"/>
  </w:num>
  <w:num w:numId="35">
    <w:abstractNumId w:val="46"/>
  </w:num>
  <w:num w:numId="36">
    <w:abstractNumId w:val="35"/>
  </w:num>
  <w:num w:numId="37">
    <w:abstractNumId w:val="21"/>
  </w:num>
  <w:num w:numId="38">
    <w:abstractNumId w:val="45"/>
  </w:num>
  <w:num w:numId="39">
    <w:abstractNumId w:val="28"/>
  </w:num>
  <w:num w:numId="40">
    <w:abstractNumId w:val="40"/>
  </w:num>
  <w:num w:numId="41">
    <w:abstractNumId w:val="6"/>
  </w:num>
  <w:num w:numId="42">
    <w:abstractNumId w:val="33"/>
  </w:num>
  <w:num w:numId="43">
    <w:abstractNumId w:val="1"/>
  </w:num>
  <w:num w:numId="44">
    <w:abstractNumId w:val="2"/>
  </w:num>
  <w:num w:numId="45">
    <w:abstractNumId w:val="19"/>
  </w:num>
  <w:num w:numId="46">
    <w:abstractNumId w:val="11"/>
  </w:num>
  <w:num w:numId="47">
    <w:abstractNumId w:val="43"/>
  </w:num>
  <w:num w:numId="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4"/>
    <w:footnote w:id="5"/>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A91"/>
    <w:rsid w:val="00000B2F"/>
    <w:rsid w:val="00001E2F"/>
    <w:rsid w:val="00002389"/>
    <w:rsid w:val="000025C6"/>
    <w:rsid w:val="00002BDE"/>
    <w:rsid w:val="00003606"/>
    <w:rsid w:val="000047F8"/>
    <w:rsid w:val="000048B0"/>
    <w:rsid w:val="00005B01"/>
    <w:rsid w:val="000063CF"/>
    <w:rsid w:val="00006A59"/>
    <w:rsid w:val="000101E4"/>
    <w:rsid w:val="0001103A"/>
    <w:rsid w:val="000131EF"/>
    <w:rsid w:val="00013628"/>
    <w:rsid w:val="00013844"/>
    <w:rsid w:val="000139C7"/>
    <w:rsid w:val="00014334"/>
    <w:rsid w:val="00014672"/>
    <w:rsid w:val="00015A92"/>
    <w:rsid w:val="00015D58"/>
    <w:rsid w:val="00016232"/>
    <w:rsid w:val="00017AB0"/>
    <w:rsid w:val="0002052D"/>
    <w:rsid w:val="000206F2"/>
    <w:rsid w:val="00020A6F"/>
    <w:rsid w:val="00021007"/>
    <w:rsid w:val="00023BA8"/>
    <w:rsid w:val="000247F9"/>
    <w:rsid w:val="00027E61"/>
    <w:rsid w:val="00027F48"/>
    <w:rsid w:val="0003072E"/>
    <w:rsid w:val="00030D69"/>
    <w:rsid w:val="00031806"/>
    <w:rsid w:val="00031F80"/>
    <w:rsid w:val="0003323A"/>
    <w:rsid w:val="00034890"/>
    <w:rsid w:val="00035097"/>
    <w:rsid w:val="00036482"/>
    <w:rsid w:val="000405B1"/>
    <w:rsid w:val="00042B55"/>
    <w:rsid w:val="00043D2C"/>
    <w:rsid w:val="00043D5F"/>
    <w:rsid w:val="000461C3"/>
    <w:rsid w:val="000463B3"/>
    <w:rsid w:val="000469D0"/>
    <w:rsid w:val="00050975"/>
    <w:rsid w:val="00051317"/>
    <w:rsid w:val="00051479"/>
    <w:rsid w:val="0005439B"/>
    <w:rsid w:val="00054854"/>
    <w:rsid w:val="000554B0"/>
    <w:rsid w:val="00060306"/>
    <w:rsid w:val="00060571"/>
    <w:rsid w:val="00060984"/>
    <w:rsid w:val="00061D74"/>
    <w:rsid w:val="00062791"/>
    <w:rsid w:val="00063EE4"/>
    <w:rsid w:val="00064EB1"/>
    <w:rsid w:val="00064F2B"/>
    <w:rsid w:val="000664A7"/>
    <w:rsid w:val="00066F56"/>
    <w:rsid w:val="0006729D"/>
    <w:rsid w:val="000677EE"/>
    <w:rsid w:val="000679B3"/>
    <w:rsid w:val="00071418"/>
    <w:rsid w:val="00071581"/>
    <w:rsid w:val="0007293A"/>
    <w:rsid w:val="00072C82"/>
    <w:rsid w:val="00072CD2"/>
    <w:rsid w:val="00072CE4"/>
    <w:rsid w:val="00072D1F"/>
    <w:rsid w:val="0007366C"/>
    <w:rsid w:val="00074189"/>
    <w:rsid w:val="00074306"/>
    <w:rsid w:val="00075FF8"/>
    <w:rsid w:val="00080C2C"/>
    <w:rsid w:val="00081AD6"/>
    <w:rsid w:val="0008269B"/>
    <w:rsid w:val="00083410"/>
    <w:rsid w:val="000837F8"/>
    <w:rsid w:val="000853F6"/>
    <w:rsid w:val="000867A8"/>
    <w:rsid w:val="00087036"/>
    <w:rsid w:val="00087EDB"/>
    <w:rsid w:val="00090F89"/>
    <w:rsid w:val="00093991"/>
    <w:rsid w:val="00093C11"/>
    <w:rsid w:val="00094631"/>
    <w:rsid w:val="0009533A"/>
    <w:rsid w:val="000954E6"/>
    <w:rsid w:val="00096382"/>
    <w:rsid w:val="0009795C"/>
    <w:rsid w:val="00097F80"/>
    <w:rsid w:val="000A2D2D"/>
    <w:rsid w:val="000A2E68"/>
    <w:rsid w:val="000A4241"/>
    <w:rsid w:val="000A45AB"/>
    <w:rsid w:val="000A5AC2"/>
    <w:rsid w:val="000B0078"/>
    <w:rsid w:val="000B35B0"/>
    <w:rsid w:val="000B3B58"/>
    <w:rsid w:val="000B3EFD"/>
    <w:rsid w:val="000B5087"/>
    <w:rsid w:val="000B659B"/>
    <w:rsid w:val="000B6E9F"/>
    <w:rsid w:val="000C42F9"/>
    <w:rsid w:val="000C54ED"/>
    <w:rsid w:val="000C6143"/>
    <w:rsid w:val="000C7382"/>
    <w:rsid w:val="000D03A9"/>
    <w:rsid w:val="000D08F8"/>
    <w:rsid w:val="000D2387"/>
    <w:rsid w:val="000D35BD"/>
    <w:rsid w:val="000D71CF"/>
    <w:rsid w:val="000D7225"/>
    <w:rsid w:val="000D722C"/>
    <w:rsid w:val="000E0485"/>
    <w:rsid w:val="000E2E7D"/>
    <w:rsid w:val="000E34F3"/>
    <w:rsid w:val="000E400B"/>
    <w:rsid w:val="000E4205"/>
    <w:rsid w:val="000E62BF"/>
    <w:rsid w:val="000E7CF6"/>
    <w:rsid w:val="000F0433"/>
    <w:rsid w:val="000F0802"/>
    <w:rsid w:val="000F1D3C"/>
    <w:rsid w:val="000F3233"/>
    <w:rsid w:val="000F3DD2"/>
    <w:rsid w:val="000F4243"/>
    <w:rsid w:val="000F4ABF"/>
    <w:rsid w:val="000F5426"/>
    <w:rsid w:val="000F5B66"/>
    <w:rsid w:val="000F5FF6"/>
    <w:rsid w:val="000F65C5"/>
    <w:rsid w:val="000F7056"/>
    <w:rsid w:val="000F7D2C"/>
    <w:rsid w:val="000F7F9F"/>
    <w:rsid w:val="001008D1"/>
    <w:rsid w:val="00100F0C"/>
    <w:rsid w:val="001025A3"/>
    <w:rsid w:val="0010303D"/>
    <w:rsid w:val="001036A0"/>
    <w:rsid w:val="0010457E"/>
    <w:rsid w:val="001065F5"/>
    <w:rsid w:val="00107786"/>
    <w:rsid w:val="00110417"/>
    <w:rsid w:val="001116B6"/>
    <w:rsid w:val="0011194F"/>
    <w:rsid w:val="00111E3E"/>
    <w:rsid w:val="001126F6"/>
    <w:rsid w:val="00115E7F"/>
    <w:rsid w:val="00117EFC"/>
    <w:rsid w:val="00122F58"/>
    <w:rsid w:val="0012352A"/>
    <w:rsid w:val="001238E9"/>
    <w:rsid w:val="0012411A"/>
    <w:rsid w:val="001242DE"/>
    <w:rsid w:val="001251E9"/>
    <w:rsid w:val="00125B8C"/>
    <w:rsid w:val="0012647A"/>
    <w:rsid w:val="001275DB"/>
    <w:rsid w:val="00130849"/>
    <w:rsid w:val="00130EED"/>
    <w:rsid w:val="00130F7B"/>
    <w:rsid w:val="0013153C"/>
    <w:rsid w:val="0013364F"/>
    <w:rsid w:val="00133B98"/>
    <w:rsid w:val="0013472F"/>
    <w:rsid w:val="00134733"/>
    <w:rsid w:val="0013533F"/>
    <w:rsid w:val="001359ED"/>
    <w:rsid w:val="0014026D"/>
    <w:rsid w:val="0014066A"/>
    <w:rsid w:val="00140B25"/>
    <w:rsid w:val="0014498F"/>
    <w:rsid w:val="001450DF"/>
    <w:rsid w:val="001463F3"/>
    <w:rsid w:val="0014734D"/>
    <w:rsid w:val="00152B36"/>
    <w:rsid w:val="001530B2"/>
    <w:rsid w:val="001539BE"/>
    <w:rsid w:val="001543E7"/>
    <w:rsid w:val="00154BB2"/>
    <w:rsid w:val="00155B77"/>
    <w:rsid w:val="00160569"/>
    <w:rsid w:val="00161E2F"/>
    <w:rsid w:val="001624A3"/>
    <w:rsid w:val="001624CE"/>
    <w:rsid w:val="001624DA"/>
    <w:rsid w:val="00162BF5"/>
    <w:rsid w:val="001639EF"/>
    <w:rsid w:val="00165E23"/>
    <w:rsid w:val="00166B3A"/>
    <w:rsid w:val="00170099"/>
    <w:rsid w:val="00170194"/>
    <w:rsid w:val="00170927"/>
    <w:rsid w:val="0017092A"/>
    <w:rsid w:val="0017163D"/>
    <w:rsid w:val="001725B6"/>
    <w:rsid w:val="00172ACA"/>
    <w:rsid w:val="00174417"/>
    <w:rsid w:val="001745FA"/>
    <w:rsid w:val="001749CF"/>
    <w:rsid w:val="00175CEC"/>
    <w:rsid w:val="00176B8E"/>
    <w:rsid w:val="00177BCC"/>
    <w:rsid w:val="0018035B"/>
    <w:rsid w:val="0018251A"/>
    <w:rsid w:val="0018458D"/>
    <w:rsid w:val="001846FB"/>
    <w:rsid w:val="00185658"/>
    <w:rsid w:val="00186A2E"/>
    <w:rsid w:val="00186BD7"/>
    <w:rsid w:val="00194AE5"/>
    <w:rsid w:val="00194E69"/>
    <w:rsid w:val="00197DD9"/>
    <w:rsid w:val="001A05F5"/>
    <w:rsid w:val="001A3999"/>
    <w:rsid w:val="001A46C0"/>
    <w:rsid w:val="001A57DB"/>
    <w:rsid w:val="001A586B"/>
    <w:rsid w:val="001A6EFF"/>
    <w:rsid w:val="001A73F1"/>
    <w:rsid w:val="001B043A"/>
    <w:rsid w:val="001B0EF8"/>
    <w:rsid w:val="001B1D26"/>
    <w:rsid w:val="001B1E1E"/>
    <w:rsid w:val="001B2F76"/>
    <w:rsid w:val="001B2F82"/>
    <w:rsid w:val="001B396B"/>
    <w:rsid w:val="001B4B9C"/>
    <w:rsid w:val="001B55D2"/>
    <w:rsid w:val="001B7D0D"/>
    <w:rsid w:val="001C0F94"/>
    <w:rsid w:val="001C13E9"/>
    <w:rsid w:val="001C3F7D"/>
    <w:rsid w:val="001C401D"/>
    <w:rsid w:val="001C4148"/>
    <w:rsid w:val="001C5E04"/>
    <w:rsid w:val="001C78FF"/>
    <w:rsid w:val="001D0B29"/>
    <w:rsid w:val="001D1C27"/>
    <w:rsid w:val="001D2A8B"/>
    <w:rsid w:val="001D49AC"/>
    <w:rsid w:val="001D4BC9"/>
    <w:rsid w:val="001D4FE1"/>
    <w:rsid w:val="001D78FF"/>
    <w:rsid w:val="001E0387"/>
    <w:rsid w:val="001E223F"/>
    <w:rsid w:val="001E4374"/>
    <w:rsid w:val="001E4A82"/>
    <w:rsid w:val="001E4C0D"/>
    <w:rsid w:val="001E4E95"/>
    <w:rsid w:val="001E631F"/>
    <w:rsid w:val="001F0A69"/>
    <w:rsid w:val="001F0EC7"/>
    <w:rsid w:val="001F1728"/>
    <w:rsid w:val="001F2658"/>
    <w:rsid w:val="001F375E"/>
    <w:rsid w:val="001F3AD6"/>
    <w:rsid w:val="001F3CCB"/>
    <w:rsid w:val="001F63BD"/>
    <w:rsid w:val="001F6775"/>
    <w:rsid w:val="001F69BF"/>
    <w:rsid w:val="001F70BF"/>
    <w:rsid w:val="00200DF8"/>
    <w:rsid w:val="002024E9"/>
    <w:rsid w:val="00206282"/>
    <w:rsid w:val="0020639A"/>
    <w:rsid w:val="00210354"/>
    <w:rsid w:val="00210857"/>
    <w:rsid w:val="002119A2"/>
    <w:rsid w:val="00215CD1"/>
    <w:rsid w:val="0022162D"/>
    <w:rsid w:val="00221E60"/>
    <w:rsid w:val="002221CB"/>
    <w:rsid w:val="002222A4"/>
    <w:rsid w:val="00224F31"/>
    <w:rsid w:val="0022633B"/>
    <w:rsid w:val="00226F9D"/>
    <w:rsid w:val="00230DAA"/>
    <w:rsid w:val="00230F4A"/>
    <w:rsid w:val="00231E83"/>
    <w:rsid w:val="002325CE"/>
    <w:rsid w:val="0023523A"/>
    <w:rsid w:val="00235E45"/>
    <w:rsid w:val="002366EB"/>
    <w:rsid w:val="00237FDB"/>
    <w:rsid w:val="0024053C"/>
    <w:rsid w:val="0024338D"/>
    <w:rsid w:val="00243629"/>
    <w:rsid w:val="002436C1"/>
    <w:rsid w:val="00243DF5"/>
    <w:rsid w:val="002449BB"/>
    <w:rsid w:val="00245106"/>
    <w:rsid w:val="00245D03"/>
    <w:rsid w:val="00247A7D"/>
    <w:rsid w:val="0025150E"/>
    <w:rsid w:val="00252B51"/>
    <w:rsid w:val="00253997"/>
    <w:rsid w:val="00253A8D"/>
    <w:rsid w:val="0025423C"/>
    <w:rsid w:val="00254A3C"/>
    <w:rsid w:val="00254A8B"/>
    <w:rsid w:val="00256E57"/>
    <w:rsid w:val="0025744E"/>
    <w:rsid w:val="0026641B"/>
    <w:rsid w:val="002672C8"/>
    <w:rsid w:val="0026766B"/>
    <w:rsid w:val="00270665"/>
    <w:rsid w:val="00270804"/>
    <w:rsid w:val="0027087F"/>
    <w:rsid w:val="00271B5B"/>
    <w:rsid w:val="00272C53"/>
    <w:rsid w:val="00272E20"/>
    <w:rsid w:val="00273681"/>
    <w:rsid w:val="00274587"/>
    <w:rsid w:val="0027510A"/>
    <w:rsid w:val="002753C3"/>
    <w:rsid w:val="00276883"/>
    <w:rsid w:val="00276C78"/>
    <w:rsid w:val="002770C9"/>
    <w:rsid w:val="00277C1F"/>
    <w:rsid w:val="00280589"/>
    <w:rsid w:val="00280BA8"/>
    <w:rsid w:val="002821D7"/>
    <w:rsid w:val="00282304"/>
    <w:rsid w:val="00282F20"/>
    <w:rsid w:val="00286A20"/>
    <w:rsid w:val="00287B11"/>
    <w:rsid w:val="0029004F"/>
    <w:rsid w:val="00290504"/>
    <w:rsid w:val="00291B84"/>
    <w:rsid w:val="00292B5E"/>
    <w:rsid w:val="002932FC"/>
    <w:rsid w:val="00293A19"/>
    <w:rsid w:val="00293FBC"/>
    <w:rsid w:val="00294431"/>
    <w:rsid w:val="00294B49"/>
    <w:rsid w:val="00295538"/>
    <w:rsid w:val="00297034"/>
    <w:rsid w:val="00297B34"/>
    <w:rsid w:val="00297FBC"/>
    <w:rsid w:val="002A1D5F"/>
    <w:rsid w:val="002A2202"/>
    <w:rsid w:val="002A23E0"/>
    <w:rsid w:val="002A2E20"/>
    <w:rsid w:val="002A32DF"/>
    <w:rsid w:val="002A3914"/>
    <w:rsid w:val="002A4DD2"/>
    <w:rsid w:val="002A7DF5"/>
    <w:rsid w:val="002A7E94"/>
    <w:rsid w:val="002B0795"/>
    <w:rsid w:val="002B1932"/>
    <w:rsid w:val="002B1D8F"/>
    <w:rsid w:val="002B1F1C"/>
    <w:rsid w:val="002B2620"/>
    <w:rsid w:val="002B29F4"/>
    <w:rsid w:val="002B3225"/>
    <w:rsid w:val="002B5694"/>
    <w:rsid w:val="002B7844"/>
    <w:rsid w:val="002C0181"/>
    <w:rsid w:val="002C021F"/>
    <w:rsid w:val="002C2056"/>
    <w:rsid w:val="002C23F7"/>
    <w:rsid w:val="002C3367"/>
    <w:rsid w:val="002C5770"/>
    <w:rsid w:val="002C68E0"/>
    <w:rsid w:val="002C7CB4"/>
    <w:rsid w:val="002C7E29"/>
    <w:rsid w:val="002D027E"/>
    <w:rsid w:val="002D2324"/>
    <w:rsid w:val="002D29FD"/>
    <w:rsid w:val="002D2AEC"/>
    <w:rsid w:val="002D2C1F"/>
    <w:rsid w:val="002D4E9A"/>
    <w:rsid w:val="002D7BB3"/>
    <w:rsid w:val="002E1382"/>
    <w:rsid w:val="002E6F55"/>
    <w:rsid w:val="002F04F7"/>
    <w:rsid w:val="002F0E4E"/>
    <w:rsid w:val="002F344B"/>
    <w:rsid w:val="002F709A"/>
    <w:rsid w:val="002F77A8"/>
    <w:rsid w:val="00301619"/>
    <w:rsid w:val="00301AD3"/>
    <w:rsid w:val="00302755"/>
    <w:rsid w:val="003055CF"/>
    <w:rsid w:val="00305A15"/>
    <w:rsid w:val="00306353"/>
    <w:rsid w:val="00306D41"/>
    <w:rsid w:val="00307094"/>
    <w:rsid w:val="00307342"/>
    <w:rsid w:val="00307A48"/>
    <w:rsid w:val="00310163"/>
    <w:rsid w:val="00310374"/>
    <w:rsid w:val="00310A72"/>
    <w:rsid w:val="00311C18"/>
    <w:rsid w:val="00312445"/>
    <w:rsid w:val="003128A0"/>
    <w:rsid w:val="0031298C"/>
    <w:rsid w:val="00313D52"/>
    <w:rsid w:val="00314235"/>
    <w:rsid w:val="0032119C"/>
    <w:rsid w:val="00321C2B"/>
    <w:rsid w:val="00324E2B"/>
    <w:rsid w:val="0032607C"/>
    <w:rsid w:val="00326E7B"/>
    <w:rsid w:val="0033166C"/>
    <w:rsid w:val="0033315A"/>
    <w:rsid w:val="0033358A"/>
    <w:rsid w:val="00334052"/>
    <w:rsid w:val="003342B8"/>
    <w:rsid w:val="00334D65"/>
    <w:rsid w:val="0033504B"/>
    <w:rsid w:val="003362C7"/>
    <w:rsid w:val="00336A5A"/>
    <w:rsid w:val="00337AA0"/>
    <w:rsid w:val="00340F90"/>
    <w:rsid w:val="00342ADB"/>
    <w:rsid w:val="00343B0F"/>
    <w:rsid w:val="0034618B"/>
    <w:rsid w:val="00347006"/>
    <w:rsid w:val="00347C86"/>
    <w:rsid w:val="00347D0D"/>
    <w:rsid w:val="00350342"/>
    <w:rsid w:val="003503AE"/>
    <w:rsid w:val="00350881"/>
    <w:rsid w:val="003511ED"/>
    <w:rsid w:val="00351D8C"/>
    <w:rsid w:val="0035213A"/>
    <w:rsid w:val="00353419"/>
    <w:rsid w:val="00355122"/>
    <w:rsid w:val="00355258"/>
    <w:rsid w:val="00355D35"/>
    <w:rsid w:val="00356370"/>
    <w:rsid w:val="0035668F"/>
    <w:rsid w:val="00360094"/>
    <w:rsid w:val="00361313"/>
    <w:rsid w:val="00361E69"/>
    <w:rsid w:val="003625D5"/>
    <w:rsid w:val="003627FB"/>
    <w:rsid w:val="00362826"/>
    <w:rsid w:val="0036403D"/>
    <w:rsid w:val="0036455C"/>
    <w:rsid w:val="00366074"/>
    <w:rsid w:val="00367122"/>
    <w:rsid w:val="0037083D"/>
    <w:rsid w:val="0037229F"/>
    <w:rsid w:val="00372402"/>
    <w:rsid w:val="003725B4"/>
    <w:rsid w:val="003726C4"/>
    <w:rsid w:val="00372832"/>
    <w:rsid w:val="00372B67"/>
    <w:rsid w:val="00373237"/>
    <w:rsid w:val="00374273"/>
    <w:rsid w:val="00375BEB"/>
    <w:rsid w:val="00376909"/>
    <w:rsid w:val="00377D6B"/>
    <w:rsid w:val="003800B4"/>
    <w:rsid w:val="003809E0"/>
    <w:rsid w:val="003814E2"/>
    <w:rsid w:val="00381AF1"/>
    <w:rsid w:val="00381E88"/>
    <w:rsid w:val="003821F9"/>
    <w:rsid w:val="003827CD"/>
    <w:rsid w:val="003835EB"/>
    <w:rsid w:val="00383A99"/>
    <w:rsid w:val="00383D6D"/>
    <w:rsid w:val="003852EF"/>
    <w:rsid w:val="003870EE"/>
    <w:rsid w:val="00393452"/>
    <w:rsid w:val="00394C2C"/>
    <w:rsid w:val="0039628E"/>
    <w:rsid w:val="00396F85"/>
    <w:rsid w:val="0039723A"/>
    <w:rsid w:val="003A1CB9"/>
    <w:rsid w:val="003A27B8"/>
    <w:rsid w:val="003A3D8C"/>
    <w:rsid w:val="003A539D"/>
    <w:rsid w:val="003A547A"/>
    <w:rsid w:val="003A5FA1"/>
    <w:rsid w:val="003A7623"/>
    <w:rsid w:val="003B324C"/>
    <w:rsid w:val="003B3AB7"/>
    <w:rsid w:val="003B436E"/>
    <w:rsid w:val="003B6220"/>
    <w:rsid w:val="003B67D8"/>
    <w:rsid w:val="003B7430"/>
    <w:rsid w:val="003B76DC"/>
    <w:rsid w:val="003C1E93"/>
    <w:rsid w:val="003C596C"/>
    <w:rsid w:val="003C655B"/>
    <w:rsid w:val="003C6A84"/>
    <w:rsid w:val="003D03AF"/>
    <w:rsid w:val="003D07CA"/>
    <w:rsid w:val="003D1FE5"/>
    <w:rsid w:val="003D2D67"/>
    <w:rsid w:val="003D3735"/>
    <w:rsid w:val="003D4E30"/>
    <w:rsid w:val="003D5148"/>
    <w:rsid w:val="003D5C90"/>
    <w:rsid w:val="003D6081"/>
    <w:rsid w:val="003D6720"/>
    <w:rsid w:val="003D6B3F"/>
    <w:rsid w:val="003D6CDF"/>
    <w:rsid w:val="003D7951"/>
    <w:rsid w:val="003E030F"/>
    <w:rsid w:val="003E07CF"/>
    <w:rsid w:val="003E1EFB"/>
    <w:rsid w:val="003E20DB"/>
    <w:rsid w:val="003E2B26"/>
    <w:rsid w:val="003E4299"/>
    <w:rsid w:val="003E70B9"/>
    <w:rsid w:val="003E7812"/>
    <w:rsid w:val="003F1494"/>
    <w:rsid w:val="003F2136"/>
    <w:rsid w:val="003F277A"/>
    <w:rsid w:val="003F31E6"/>
    <w:rsid w:val="003F40F9"/>
    <w:rsid w:val="003F46B6"/>
    <w:rsid w:val="003F4C40"/>
    <w:rsid w:val="003F52FE"/>
    <w:rsid w:val="003F580D"/>
    <w:rsid w:val="003F61D7"/>
    <w:rsid w:val="003F6475"/>
    <w:rsid w:val="00401D49"/>
    <w:rsid w:val="00401F3A"/>
    <w:rsid w:val="004021CB"/>
    <w:rsid w:val="0040272E"/>
    <w:rsid w:val="00402EA0"/>
    <w:rsid w:val="004041C9"/>
    <w:rsid w:val="00404615"/>
    <w:rsid w:val="00407407"/>
    <w:rsid w:val="004079CC"/>
    <w:rsid w:val="004106A7"/>
    <w:rsid w:val="004108D9"/>
    <w:rsid w:val="00412823"/>
    <w:rsid w:val="00412CB8"/>
    <w:rsid w:val="0041382E"/>
    <w:rsid w:val="00413D00"/>
    <w:rsid w:val="00414410"/>
    <w:rsid w:val="00414992"/>
    <w:rsid w:val="00414C90"/>
    <w:rsid w:val="004153ED"/>
    <w:rsid w:val="00415B87"/>
    <w:rsid w:val="00416ED0"/>
    <w:rsid w:val="004175B0"/>
    <w:rsid w:val="00421C9B"/>
    <w:rsid w:val="00421ED6"/>
    <w:rsid w:val="00426041"/>
    <w:rsid w:val="00426CBC"/>
    <w:rsid w:val="0042769A"/>
    <w:rsid w:val="0043002F"/>
    <w:rsid w:val="004303B3"/>
    <w:rsid w:val="00430927"/>
    <w:rsid w:val="0043308A"/>
    <w:rsid w:val="00433113"/>
    <w:rsid w:val="0043673C"/>
    <w:rsid w:val="00437DA0"/>
    <w:rsid w:val="004412CE"/>
    <w:rsid w:val="0044188C"/>
    <w:rsid w:val="00442277"/>
    <w:rsid w:val="00442603"/>
    <w:rsid w:val="00442985"/>
    <w:rsid w:val="00442BB2"/>
    <w:rsid w:val="00444898"/>
    <w:rsid w:val="00445E88"/>
    <w:rsid w:val="0045186E"/>
    <w:rsid w:val="00453254"/>
    <w:rsid w:val="00453451"/>
    <w:rsid w:val="0045366F"/>
    <w:rsid w:val="00453F4D"/>
    <w:rsid w:val="00455D49"/>
    <w:rsid w:val="00455DF1"/>
    <w:rsid w:val="0045751C"/>
    <w:rsid w:val="00460F22"/>
    <w:rsid w:val="004613C0"/>
    <w:rsid w:val="00461AED"/>
    <w:rsid w:val="004622CE"/>
    <w:rsid w:val="00462B83"/>
    <w:rsid w:val="0046413A"/>
    <w:rsid w:val="0046446A"/>
    <w:rsid w:val="004645D0"/>
    <w:rsid w:val="00464A97"/>
    <w:rsid w:val="00464FA6"/>
    <w:rsid w:val="004651E5"/>
    <w:rsid w:val="00465465"/>
    <w:rsid w:val="004676E4"/>
    <w:rsid w:val="0046796E"/>
    <w:rsid w:val="004707EC"/>
    <w:rsid w:val="00470F11"/>
    <w:rsid w:val="0047173F"/>
    <w:rsid w:val="004722FE"/>
    <w:rsid w:val="00472A2C"/>
    <w:rsid w:val="004739B2"/>
    <w:rsid w:val="00473A1E"/>
    <w:rsid w:val="00473D20"/>
    <w:rsid w:val="0047530A"/>
    <w:rsid w:val="004761F8"/>
    <w:rsid w:val="0047624F"/>
    <w:rsid w:val="00476551"/>
    <w:rsid w:val="00476764"/>
    <w:rsid w:val="00477506"/>
    <w:rsid w:val="00477994"/>
    <w:rsid w:val="0048029F"/>
    <w:rsid w:val="00480ED0"/>
    <w:rsid w:val="00481CB0"/>
    <w:rsid w:val="00481CC2"/>
    <w:rsid w:val="00482A14"/>
    <w:rsid w:val="00482CC2"/>
    <w:rsid w:val="004835E4"/>
    <w:rsid w:val="00484CF0"/>
    <w:rsid w:val="004856F7"/>
    <w:rsid w:val="00487169"/>
    <w:rsid w:val="00490539"/>
    <w:rsid w:val="004907EE"/>
    <w:rsid w:val="00490958"/>
    <w:rsid w:val="00490F50"/>
    <w:rsid w:val="004910C2"/>
    <w:rsid w:val="00491342"/>
    <w:rsid w:val="00491B25"/>
    <w:rsid w:val="004925DF"/>
    <w:rsid w:val="004929D1"/>
    <w:rsid w:val="004931EF"/>
    <w:rsid w:val="004939CA"/>
    <w:rsid w:val="004943E7"/>
    <w:rsid w:val="00497627"/>
    <w:rsid w:val="00497D5C"/>
    <w:rsid w:val="004A0025"/>
    <w:rsid w:val="004A11E1"/>
    <w:rsid w:val="004A243A"/>
    <w:rsid w:val="004A2756"/>
    <w:rsid w:val="004A43DB"/>
    <w:rsid w:val="004A49CD"/>
    <w:rsid w:val="004A4AED"/>
    <w:rsid w:val="004A58D1"/>
    <w:rsid w:val="004A591E"/>
    <w:rsid w:val="004A5E88"/>
    <w:rsid w:val="004A65C0"/>
    <w:rsid w:val="004A6C11"/>
    <w:rsid w:val="004A6E41"/>
    <w:rsid w:val="004B1E66"/>
    <w:rsid w:val="004B4001"/>
    <w:rsid w:val="004B4B39"/>
    <w:rsid w:val="004B598C"/>
    <w:rsid w:val="004B6EA9"/>
    <w:rsid w:val="004B735F"/>
    <w:rsid w:val="004B77FF"/>
    <w:rsid w:val="004C0F0C"/>
    <w:rsid w:val="004C1242"/>
    <w:rsid w:val="004C1C90"/>
    <w:rsid w:val="004C38D6"/>
    <w:rsid w:val="004C49FA"/>
    <w:rsid w:val="004C4C9B"/>
    <w:rsid w:val="004C715E"/>
    <w:rsid w:val="004C7C47"/>
    <w:rsid w:val="004D0388"/>
    <w:rsid w:val="004D0478"/>
    <w:rsid w:val="004D0A93"/>
    <w:rsid w:val="004D1250"/>
    <w:rsid w:val="004D20F5"/>
    <w:rsid w:val="004D2EC3"/>
    <w:rsid w:val="004D34DD"/>
    <w:rsid w:val="004D382B"/>
    <w:rsid w:val="004D3B10"/>
    <w:rsid w:val="004D6E8F"/>
    <w:rsid w:val="004D73A7"/>
    <w:rsid w:val="004D7BA3"/>
    <w:rsid w:val="004E0A42"/>
    <w:rsid w:val="004E3184"/>
    <w:rsid w:val="004E3C6A"/>
    <w:rsid w:val="004E578D"/>
    <w:rsid w:val="004E645B"/>
    <w:rsid w:val="004F0FC9"/>
    <w:rsid w:val="004F1976"/>
    <w:rsid w:val="004F3AC9"/>
    <w:rsid w:val="004F3E60"/>
    <w:rsid w:val="004F46F0"/>
    <w:rsid w:val="004F4F78"/>
    <w:rsid w:val="004F55EC"/>
    <w:rsid w:val="004F64C1"/>
    <w:rsid w:val="0050008C"/>
    <w:rsid w:val="00500F96"/>
    <w:rsid w:val="005013A2"/>
    <w:rsid w:val="00501E90"/>
    <w:rsid w:val="005021AC"/>
    <w:rsid w:val="00503302"/>
    <w:rsid w:val="0050386F"/>
    <w:rsid w:val="005059A6"/>
    <w:rsid w:val="00510526"/>
    <w:rsid w:val="00510823"/>
    <w:rsid w:val="0051208D"/>
    <w:rsid w:val="00514531"/>
    <w:rsid w:val="00515789"/>
    <w:rsid w:val="00516DA1"/>
    <w:rsid w:val="00517A09"/>
    <w:rsid w:val="005201F1"/>
    <w:rsid w:val="00520ACC"/>
    <w:rsid w:val="00520B0B"/>
    <w:rsid w:val="00520DB0"/>
    <w:rsid w:val="005212D4"/>
    <w:rsid w:val="0052415B"/>
    <w:rsid w:val="00524AF2"/>
    <w:rsid w:val="005266CB"/>
    <w:rsid w:val="005278DA"/>
    <w:rsid w:val="00527FBD"/>
    <w:rsid w:val="005303CB"/>
    <w:rsid w:val="0053069A"/>
    <w:rsid w:val="005308B0"/>
    <w:rsid w:val="005332C4"/>
    <w:rsid w:val="0053444E"/>
    <w:rsid w:val="00534CE2"/>
    <w:rsid w:val="00534DA6"/>
    <w:rsid w:val="0053510C"/>
    <w:rsid w:val="00535310"/>
    <w:rsid w:val="005362B4"/>
    <w:rsid w:val="0053633A"/>
    <w:rsid w:val="005369FC"/>
    <w:rsid w:val="005400DC"/>
    <w:rsid w:val="005411FB"/>
    <w:rsid w:val="00542CCA"/>
    <w:rsid w:val="0054309D"/>
    <w:rsid w:val="005436F3"/>
    <w:rsid w:val="00544451"/>
    <w:rsid w:val="005449D5"/>
    <w:rsid w:val="00544A6C"/>
    <w:rsid w:val="00551427"/>
    <w:rsid w:val="00551C0A"/>
    <w:rsid w:val="00552ECA"/>
    <w:rsid w:val="005532BD"/>
    <w:rsid w:val="00554430"/>
    <w:rsid w:val="005544FD"/>
    <w:rsid w:val="00555D40"/>
    <w:rsid w:val="00560551"/>
    <w:rsid w:val="0056098B"/>
    <w:rsid w:val="00560C1D"/>
    <w:rsid w:val="00561FE9"/>
    <w:rsid w:val="00562524"/>
    <w:rsid w:val="00562804"/>
    <w:rsid w:val="00564F46"/>
    <w:rsid w:val="005659B2"/>
    <w:rsid w:val="00566CB6"/>
    <w:rsid w:val="00566F54"/>
    <w:rsid w:val="00567AAC"/>
    <w:rsid w:val="00570E1D"/>
    <w:rsid w:val="00570F5F"/>
    <w:rsid w:val="00572A2F"/>
    <w:rsid w:val="00572C28"/>
    <w:rsid w:val="00572D91"/>
    <w:rsid w:val="00574893"/>
    <w:rsid w:val="00575E03"/>
    <w:rsid w:val="00576B9E"/>
    <w:rsid w:val="00577555"/>
    <w:rsid w:val="0057778D"/>
    <w:rsid w:val="005803F4"/>
    <w:rsid w:val="005803FA"/>
    <w:rsid w:val="00581B3F"/>
    <w:rsid w:val="0058330C"/>
    <w:rsid w:val="00583A5E"/>
    <w:rsid w:val="00590CD8"/>
    <w:rsid w:val="00591A70"/>
    <w:rsid w:val="00593310"/>
    <w:rsid w:val="00593C66"/>
    <w:rsid w:val="0059440A"/>
    <w:rsid w:val="00595C4D"/>
    <w:rsid w:val="00596453"/>
    <w:rsid w:val="00597290"/>
    <w:rsid w:val="00597498"/>
    <w:rsid w:val="0059767A"/>
    <w:rsid w:val="00597860"/>
    <w:rsid w:val="00597C64"/>
    <w:rsid w:val="005A2E37"/>
    <w:rsid w:val="005A4D2A"/>
    <w:rsid w:val="005A6007"/>
    <w:rsid w:val="005A6752"/>
    <w:rsid w:val="005A6DE4"/>
    <w:rsid w:val="005A7236"/>
    <w:rsid w:val="005B08B3"/>
    <w:rsid w:val="005B0F07"/>
    <w:rsid w:val="005B16D7"/>
    <w:rsid w:val="005B1722"/>
    <w:rsid w:val="005B1BB5"/>
    <w:rsid w:val="005B1FB3"/>
    <w:rsid w:val="005B2156"/>
    <w:rsid w:val="005B3AC2"/>
    <w:rsid w:val="005B4027"/>
    <w:rsid w:val="005B62FA"/>
    <w:rsid w:val="005B6576"/>
    <w:rsid w:val="005C09F1"/>
    <w:rsid w:val="005C1CF3"/>
    <w:rsid w:val="005C37A8"/>
    <w:rsid w:val="005C3B0D"/>
    <w:rsid w:val="005C4A33"/>
    <w:rsid w:val="005C4B2D"/>
    <w:rsid w:val="005C5BC2"/>
    <w:rsid w:val="005C6C75"/>
    <w:rsid w:val="005C72E9"/>
    <w:rsid w:val="005C79F4"/>
    <w:rsid w:val="005D06E7"/>
    <w:rsid w:val="005D46AD"/>
    <w:rsid w:val="005D4D03"/>
    <w:rsid w:val="005D5292"/>
    <w:rsid w:val="005D5470"/>
    <w:rsid w:val="005D637B"/>
    <w:rsid w:val="005D6C7B"/>
    <w:rsid w:val="005E14F6"/>
    <w:rsid w:val="005E162C"/>
    <w:rsid w:val="005E26A1"/>
    <w:rsid w:val="005E2D33"/>
    <w:rsid w:val="005E494F"/>
    <w:rsid w:val="005E4DEC"/>
    <w:rsid w:val="005E5312"/>
    <w:rsid w:val="005E588E"/>
    <w:rsid w:val="005E5F0F"/>
    <w:rsid w:val="005E6F96"/>
    <w:rsid w:val="005F0E22"/>
    <w:rsid w:val="005F15EA"/>
    <w:rsid w:val="005F1604"/>
    <w:rsid w:val="005F24F4"/>
    <w:rsid w:val="005F2903"/>
    <w:rsid w:val="005F31D7"/>
    <w:rsid w:val="005F3AA3"/>
    <w:rsid w:val="005F537F"/>
    <w:rsid w:val="005F7D07"/>
    <w:rsid w:val="0060020D"/>
    <w:rsid w:val="00602794"/>
    <w:rsid w:val="0060289C"/>
    <w:rsid w:val="00604135"/>
    <w:rsid w:val="00604180"/>
    <w:rsid w:val="00605047"/>
    <w:rsid w:val="006058CB"/>
    <w:rsid w:val="00606754"/>
    <w:rsid w:val="0060733C"/>
    <w:rsid w:val="0060748F"/>
    <w:rsid w:val="0061140B"/>
    <w:rsid w:val="00612668"/>
    <w:rsid w:val="00613453"/>
    <w:rsid w:val="00613EA8"/>
    <w:rsid w:val="0061470B"/>
    <w:rsid w:val="00615377"/>
    <w:rsid w:val="00615563"/>
    <w:rsid w:val="00616AE1"/>
    <w:rsid w:val="00617F6B"/>
    <w:rsid w:val="0062067C"/>
    <w:rsid w:val="006214AD"/>
    <w:rsid w:val="006224C0"/>
    <w:rsid w:val="006235C4"/>
    <w:rsid w:val="00625863"/>
    <w:rsid w:val="00625F67"/>
    <w:rsid w:val="006260E5"/>
    <w:rsid w:val="00627B69"/>
    <w:rsid w:val="00633754"/>
    <w:rsid w:val="00635E85"/>
    <w:rsid w:val="006371FF"/>
    <w:rsid w:val="00643716"/>
    <w:rsid w:val="006441EC"/>
    <w:rsid w:val="00644A75"/>
    <w:rsid w:val="006472A0"/>
    <w:rsid w:val="00651512"/>
    <w:rsid w:val="00653B76"/>
    <w:rsid w:val="00653E20"/>
    <w:rsid w:val="00654956"/>
    <w:rsid w:val="00654DE7"/>
    <w:rsid w:val="0065533C"/>
    <w:rsid w:val="00656A9D"/>
    <w:rsid w:val="00656F5E"/>
    <w:rsid w:val="00657BCB"/>
    <w:rsid w:val="00661B05"/>
    <w:rsid w:val="00662CBC"/>
    <w:rsid w:val="006639BE"/>
    <w:rsid w:val="00666AAB"/>
    <w:rsid w:val="00666FD1"/>
    <w:rsid w:val="0067038D"/>
    <w:rsid w:val="00671A6A"/>
    <w:rsid w:val="00673F0C"/>
    <w:rsid w:val="00673F58"/>
    <w:rsid w:val="006749D7"/>
    <w:rsid w:val="006753D8"/>
    <w:rsid w:val="00675DB3"/>
    <w:rsid w:val="00676A38"/>
    <w:rsid w:val="00680098"/>
    <w:rsid w:val="00680957"/>
    <w:rsid w:val="00680BA2"/>
    <w:rsid w:val="00686325"/>
    <w:rsid w:val="00686EC4"/>
    <w:rsid w:val="00687063"/>
    <w:rsid w:val="00691425"/>
    <w:rsid w:val="00695E17"/>
    <w:rsid w:val="00696763"/>
    <w:rsid w:val="0069734A"/>
    <w:rsid w:val="006A1349"/>
    <w:rsid w:val="006A139A"/>
    <w:rsid w:val="006A1939"/>
    <w:rsid w:val="006A303A"/>
    <w:rsid w:val="006A3D89"/>
    <w:rsid w:val="006A414E"/>
    <w:rsid w:val="006A45A4"/>
    <w:rsid w:val="006A489E"/>
    <w:rsid w:val="006A6BB4"/>
    <w:rsid w:val="006B0367"/>
    <w:rsid w:val="006B03C4"/>
    <w:rsid w:val="006B147C"/>
    <w:rsid w:val="006B202A"/>
    <w:rsid w:val="006B4802"/>
    <w:rsid w:val="006B5097"/>
    <w:rsid w:val="006B5516"/>
    <w:rsid w:val="006B5CD7"/>
    <w:rsid w:val="006B5D36"/>
    <w:rsid w:val="006B5E1C"/>
    <w:rsid w:val="006B7A09"/>
    <w:rsid w:val="006C42CE"/>
    <w:rsid w:val="006C5486"/>
    <w:rsid w:val="006C592D"/>
    <w:rsid w:val="006C5E62"/>
    <w:rsid w:val="006C74B3"/>
    <w:rsid w:val="006D3791"/>
    <w:rsid w:val="006D463E"/>
    <w:rsid w:val="006D465F"/>
    <w:rsid w:val="006D4B88"/>
    <w:rsid w:val="006D5492"/>
    <w:rsid w:val="006D5D0D"/>
    <w:rsid w:val="006D7021"/>
    <w:rsid w:val="006D7209"/>
    <w:rsid w:val="006E11C9"/>
    <w:rsid w:val="006E1941"/>
    <w:rsid w:val="006E31AE"/>
    <w:rsid w:val="006E4984"/>
    <w:rsid w:val="006E5E71"/>
    <w:rsid w:val="006E6031"/>
    <w:rsid w:val="006E61F6"/>
    <w:rsid w:val="006E695F"/>
    <w:rsid w:val="006E75DF"/>
    <w:rsid w:val="006F12AB"/>
    <w:rsid w:val="006F1FBE"/>
    <w:rsid w:val="006F2DE0"/>
    <w:rsid w:val="006F32BF"/>
    <w:rsid w:val="006F3311"/>
    <w:rsid w:val="006F38F6"/>
    <w:rsid w:val="006F3989"/>
    <w:rsid w:val="006F4219"/>
    <w:rsid w:val="006F520B"/>
    <w:rsid w:val="006F570B"/>
    <w:rsid w:val="006F575A"/>
    <w:rsid w:val="00700A73"/>
    <w:rsid w:val="007015E9"/>
    <w:rsid w:val="00701999"/>
    <w:rsid w:val="00702050"/>
    <w:rsid w:val="00702A10"/>
    <w:rsid w:val="007030D0"/>
    <w:rsid w:val="00703926"/>
    <w:rsid w:val="00704993"/>
    <w:rsid w:val="00704ED8"/>
    <w:rsid w:val="0070601C"/>
    <w:rsid w:val="00707008"/>
    <w:rsid w:val="0071025D"/>
    <w:rsid w:val="00710993"/>
    <w:rsid w:val="00712884"/>
    <w:rsid w:val="00713C6D"/>
    <w:rsid w:val="00715090"/>
    <w:rsid w:val="00715379"/>
    <w:rsid w:val="00715571"/>
    <w:rsid w:val="00715606"/>
    <w:rsid w:val="0071587A"/>
    <w:rsid w:val="007159EB"/>
    <w:rsid w:val="007160E0"/>
    <w:rsid w:val="00716E3F"/>
    <w:rsid w:val="00717DE7"/>
    <w:rsid w:val="00720629"/>
    <w:rsid w:val="00720B16"/>
    <w:rsid w:val="0072156E"/>
    <w:rsid w:val="0072185A"/>
    <w:rsid w:val="007219C5"/>
    <w:rsid w:val="007223FC"/>
    <w:rsid w:val="00725F23"/>
    <w:rsid w:val="007267EB"/>
    <w:rsid w:val="0072737A"/>
    <w:rsid w:val="00730159"/>
    <w:rsid w:val="00730C0D"/>
    <w:rsid w:val="00730F30"/>
    <w:rsid w:val="0073129C"/>
    <w:rsid w:val="00732E80"/>
    <w:rsid w:val="007339DB"/>
    <w:rsid w:val="00734469"/>
    <w:rsid w:val="00734F65"/>
    <w:rsid w:val="007352F8"/>
    <w:rsid w:val="007356FC"/>
    <w:rsid w:val="00735CE3"/>
    <w:rsid w:val="0074101E"/>
    <w:rsid w:val="0074150A"/>
    <w:rsid w:val="00741A4D"/>
    <w:rsid w:val="00741FEC"/>
    <w:rsid w:val="007433D3"/>
    <w:rsid w:val="00743F1B"/>
    <w:rsid w:val="0074430F"/>
    <w:rsid w:val="007448B9"/>
    <w:rsid w:val="00746100"/>
    <w:rsid w:val="007468E9"/>
    <w:rsid w:val="00746BED"/>
    <w:rsid w:val="00747D71"/>
    <w:rsid w:val="00750288"/>
    <w:rsid w:val="007512E0"/>
    <w:rsid w:val="00751BF1"/>
    <w:rsid w:val="007537F1"/>
    <w:rsid w:val="00754358"/>
    <w:rsid w:val="00754B99"/>
    <w:rsid w:val="007567FF"/>
    <w:rsid w:val="00756DA9"/>
    <w:rsid w:val="0075794D"/>
    <w:rsid w:val="007608C8"/>
    <w:rsid w:val="00761696"/>
    <w:rsid w:val="00761834"/>
    <w:rsid w:val="007619E9"/>
    <w:rsid w:val="00761BB9"/>
    <w:rsid w:val="00761D56"/>
    <w:rsid w:val="007620D8"/>
    <w:rsid w:val="007631A8"/>
    <w:rsid w:val="00763A3F"/>
    <w:rsid w:val="0076420A"/>
    <w:rsid w:val="0076492F"/>
    <w:rsid w:val="00764D0F"/>
    <w:rsid w:val="00764ED5"/>
    <w:rsid w:val="007665AE"/>
    <w:rsid w:val="007665E7"/>
    <w:rsid w:val="00773845"/>
    <w:rsid w:val="00775364"/>
    <w:rsid w:val="007756AC"/>
    <w:rsid w:val="0077605D"/>
    <w:rsid w:val="007801FF"/>
    <w:rsid w:val="00780896"/>
    <w:rsid w:val="00780E48"/>
    <w:rsid w:val="00780FF2"/>
    <w:rsid w:val="007815A1"/>
    <w:rsid w:val="00783BF6"/>
    <w:rsid w:val="0078501F"/>
    <w:rsid w:val="00785229"/>
    <w:rsid w:val="00786AE8"/>
    <w:rsid w:val="00790806"/>
    <w:rsid w:val="0079186B"/>
    <w:rsid w:val="007919EE"/>
    <w:rsid w:val="007921AF"/>
    <w:rsid w:val="007923D7"/>
    <w:rsid w:val="0079299C"/>
    <w:rsid w:val="00792F10"/>
    <w:rsid w:val="00793312"/>
    <w:rsid w:val="00796A9E"/>
    <w:rsid w:val="00797087"/>
    <w:rsid w:val="00797687"/>
    <w:rsid w:val="007A0BE3"/>
    <w:rsid w:val="007A14F5"/>
    <w:rsid w:val="007A25AF"/>
    <w:rsid w:val="007A2767"/>
    <w:rsid w:val="007A30A5"/>
    <w:rsid w:val="007A3A45"/>
    <w:rsid w:val="007A57B5"/>
    <w:rsid w:val="007A5FB9"/>
    <w:rsid w:val="007A70C6"/>
    <w:rsid w:val="007B11D0"/>
    <w:rsid w:val="007B1CB5"/>
    <w:rsid w:val="007B27E9"/>
    <w:rsid w:val="007B2987"/>
    <w:rsid w:val="007B5B6E"/>
    <w:rsid w:val="007B6A8F"/>
    <w:rsid w:val="007B70D3"/>
    <w:rsid w:val="007C1116"/>
    <w:rsid w:val="007C3AA6"/>
    <w:rsid w:val="007C4EF2"/>
    <w:rsid w:val="007C55D4"/>
    <w:rsid w:val="007C6F65"/>
    <w:rsid w:val="007D093F"/>
    <w:rsid w:val="007D0BE8"/>
    <w:rsid w:val="007D1508"/>
    <w:rsid w:val="007D36CA"/>
    <w:rsid w:val="007D4C02"/>
    <w:rsid w:val="007D5920"/>
    <w:rsid w:val="007D6731"/>
    <w:rsid w:val="007D6837"/>
    <w:rsid w:val="007D7001"/>
    <w:rsid w:val="007D782F"/>
    <w:rsid w:val="007D7E87"/>
    <w:rsid w:val="007E1ECC"/>
    <w:rsid w:val="007E2A09"/>
    <w:rsid w:val="007E40DD"/>
    <w:rsid w:val="007E48EC"/>
    <w:rsid w:val="007E4D5F"/>
    <w:rsid w:val="007E7C73"/>
    <w:rsid w:val="007F0225"/>
    <w:rsid w:val="007F0AC8"/>
    <w:rsid w:val="007F0D7F"/>
    <w:rsid w:val="007F10CE"/>
    <w:rsid w:val="007F167C"/>
    <w:rsid w:val="007F2066"/>
    <w:rsid w:val="007F2B93"/>
    <w:rsid w:val="007F3367"/>
    <w:rsid w:val="007F4005"/>
    <w:rsid w:val="007F4093"/>
    <w:rsid w:val="007F473B"/>
    <w:rsid w:val="007F5137"/>
    <w:rsid w:val="007F64E9"/>
    <w:rsid w:val="007F7EFE"/>
    <w:rsid w:val="0080100B"/>
    <w:rsid w:val="008016B2"/>
    <w:rsid w:val="00802421"/>
    <w:rsid w:val="00802684"/>
    <w:rsid w:val="00804380"/>
    <w:rsid w:val="00804490"/>
    <w:rsid w:val="008049F3"/>
    <w:rsid w:val="00806B2A"/>
    <w:rsid w:val="00806B44"/>
    <w:rsid w:val="00810DA4"/>
    <w:rsid w:val="0081266C"/>
    <w:rsid w:val="00812D6B"/>
    <w:rsid w:val="00813597"/>
    <w:rsid w:val="0081375A"/>
    <w:rsid w:val="00814153"/>
    <w:rsid w:val="00814427"/>
    <w:rsid w:val="00814A29"/>
    <w:rsid w:val="008259B8"/>
    <w:rsid w:val="00825ADA"/>
    <w:rsid w:val="00825DEA"/>
    <w:rsid w:val="008269D1"/>
    <w:rsid w:val="00826DE2"/>
    <w:rsid w:val="008279A8"/>
    <w:rsid w:val="00827E59"/>
    <w:rsid w:val="00830547"/>
    <w:rsid w:val="0083160C"/>
    <w:rsid w:val="0083338A"/>
    <w:rsid w:val="00833923"/>
    <w:rsid w:val="00834CDA"/>
    <w:rsid w:val="008362EF"/>
    <w:rsid w:val="008367C0"/>
    <w:rsid w:val="00840F68"/>
    <w:rsid w:val="00843EBB"/>
    <w:rsid w:val="008443EB"/>
    <w:rsid w:val="00844E1C"/>
    <w:rsid w:val="00850104"/>
    <w:rsid w:val="00855674"/>
    <w:rsid w:val="00855963"/>
    <w:rsid w:val="00861A71"/>
    <w:rsid w:val="00861E88"/>
    <w:rsid w:val="0086291A"/>
    <w:rsid w:val="00862D4F"/>
    <w:rsid w:val="008630E5"/>
    <w:rsid w:val="00865ACD"/>
    <w:rsid w:val="0087024A"/>
    <w:rsid w:val="00871456"/>
    <w:rsid w:val="00871C4A"/>
    <w:rsid w:val="00872ABA"/>
    <w:rsid w:val="00872B47"/>
    <w:rsid w:val="00872FCE"/>
    <w:rsid w:val="00874EBD"/>
    <w:rsid w:val="008761FC"/>
    <w:rsid w:val="00876856"/>
    <w:rsid w:val="0087711A"/>
    <w:rsid w:val="0087788E"/>
    <w:rsid w:val="00877D2F"/>
    <w:rsid w:val="008800C1"/>
    <w:rsid w:val="00880F0C"/>
    <w:rsid w:val="00881137"/>
    <w:rsid w:val="00882B38"/>
    <w:rsid w:val="00883A75"/>
    <w:rsid w:val="00883B8A"/>
    <w:rsid w:val="00883F98"/>
    <w:rsid w:val="00884396"/>
    <w:rsid w:val="008843FC"/>
    <w:rsid w:val="008844EF"/>
    <w:rsid w:val="008862BD"/>
    <w:rsid w:val="008917E7"/>
    <w:rsid w:val="0089467B"/>
    <w:rsid w:val="008962E9"/>
    <w:rsid w:val="0089653C"/>
    <w:rsid w:val="008A0DE6"/>
    <w:rsid w:val="008A1FF5"/>
    <w:rsid w:val="008A233D"/>
    <w:rsid w:val="008A237E"/>
    <w:rsid w:val="008A2781"/>
    <w:rsid w:val="008A38B1"/>
    <w:rsid w:val="008A447D"/>
    <w:rsid w:val="008A4AF5"/>
    <w:rsid w:val="008A62A5"/>
    <w:rsid w:val="008A6E9A"/>
    <w:rsid w:val="008A7E2E"/>
    <w:rsid w:val="008B09A1"/>
    <w:rsid w:val="008B1756"/>
    <w:rsid w:val="008B18AE"/>
    <w:rsid w:val="008B3124"/>
    <w:rsid w:val="008B39B8"/>
    <w:rsid w:val="008B4C8D"/>
    <w:rsid w:val="008B6595"/>
    <w:rsid w:val="008B6744"/>
    <w:rsid w:val="008B6BED"/>
    <w:rsid w:val="008B72A5"/>
    <w:rsid w:val="008B7762"/>
    <w:rsid w:val="008C03E2"/>
    <w:rsid w:val="008C0421"/>
    <w:rsid w:val="008C1918"/>
    <w:rsid w:val="008C1A51"/>
    <w:rsid w:val="008C2A4A"/>
    <w:rsid w:val="008C2CCD"/>
    <w:rsid w:val="008C2F29"/>
    <w:rsid w:val="008C4675"/>
    <w:rsid w:val="008C4AD0"/>
    <w:rsid w:val="008C50D3"/>
    <w:rsid w:val="008C5E4E"/>
    <w:rsid w:val="008C5E56"/>
    <w:rsid w:val="008C5F9A"/>
    <w:rsid w:val="008C6B30"/>
    <w:rsid w:val="008D29F5"/>
    <w:rsid w:val="008D3033"/>
    <w:rsid w:val="008D307E"/>
    <w:rsid w:val="008D3E25"/>
    <w:rsid w:val="008D493B"/>
    <w:rsid w:val="008D4A7C"/>
    <w:rsid w:val="008D51DA"/>
    <w:rsid w:val="008D53A9"/>
    <w:rsid w:val="008D5615"/>
    <w:rsid w:val="008D5F0D"/>
    <w:rsid w:val="008D683A"/>
    <w:rsid w:val="008E0359"/>
    <w:rsid w:val="008E0805"/>
    <w:rsid w:val="008E0FFB"/>
    <w:rsid w:val="008E11F0"/>
    <w:rsid w:val="008E260D"/>
    <w:rsid w:val="008E2B4D"/>
    <w:rsid w:val="008E3094"/>
    <w:rsid w:val="008E3295"/>
    <w:rsid w:val="008E3532"/>
    <w:rsid w:val="008E392B"/>
    <w:rsid w:val="008E55EA"/>
    <w:rsid w:val="008E5926"/>
    <w:rsid w:val="008E74A4"/>
    <w:rsid w:val="008E75C5"/>
    <w:rsid w:val="008E7887"/>
    <w:rsid w:val="008E7E6E"/>
    <w:rsid w:val="008F1194"/>
    <w:rsid w:val="008F1816"/>
    <w:rsid w:val="008F1884"/>
    <w:rsid w:val="008F20AA"/>
    <w:rsid w:val="008F20FA"/>
    <w:rsid w:val="008F237A"/>
    <w:rsid w:val="008F2796"/>
    <w:rsid w:val="008F29A9"/>
    <w:rsid w:val="008F34D3"/>
    <w:rsid w:val="008F43A0"/>
    <w:rsid w:val="008F4702"/>
    <w:rsid w:val="008F5DDE"/>
    <w:rsid w:val="008F5F55"/>
    <w:rsid w:val="008F66A7"/>
    <w:rsid w:val="008F688C"/>
    <w:rsid w:val="008F6A2F"/>
    <w:rsid w:val="008F6B5E"/>
    <w:rsid w:val="008F755E"/>
    <w:rsid w:val="008F79D0"/>
    <w:rsid w:val="009008B1"/>
    <w:rsid w:val="009014E6"/>
    <w:rsid w:val="00902015"/>
    <w:rsid w:val="00903531"/>
    <w:rsid w:val="00903F29"/>
    <w:rsid w:val="00904A65"/>
    <w:rsid w:val="00904DDB"/>
    <w:rsid w:val="00905793"/>
    <w:rsid w:val="00906451"/>
    <w:rsid w:val="00907263"/>
    <w:rsid w:val="0090768C"/>
    <w:rsid w:val="009123F6"/>
    <w:rsid w:val="00913E2A"/>
    <w:rsid w:val="00913F4D"/>
    <w:rsid w:val="0091468D"/>
    <w:rsid w:val="0091475E"/>
    <w:rsid w:val="00916155"/>
    <w:rsid w:val="009163B6"/>
    <w:rsid w:val="00916B61"/>
    <w:rsid w:val="00917ED2"/>
    <w:rsid w:val="00917F42"/>
    <w:rsid w:val="00920F99"/>
    <w:rsid w:val="009217A9"/>
    <w:rsid w:val="00922F1E"/>
    <w:rsid w:val="00922F29"/>
    <w:rsid w:val="009231E6"/>
    <w:rsid w:val="00924ED9"/>
    <w:rsid w:val="009274FA"/>
    <w:rsid w:val="0093042C"/>
    <w:rsid w:val="00930453"/>
    <w:rsid w:val="00931316"/>
    <w:rsid w:val="00931AD6"/>
    <w:rsid w:val="00933086"/>
    <w:rsid w:val="00934A0F"/>
    <w:rsid w:val="00937ED6"/>
    <w:rsid w:val="009406E7"/>
    <w:rsid w:val="00940B04"/>
    <w:rsid w:val="00941217"/>
    <w:rsid w:val="00942681"/>
    <w:rsid w:val="00943948"/>
    <w:rsid w:val="00944AB3"/>
    <w:rsid w:val="00946893"/>
    <w:rsid w:val="00946D10"/>
    <w:rsid w:val="00950141"/>
    <w:rsid w:val="00950840"/>
    <w:rsid w:val="00950BCE"/>
    <w:rsid w:val="00950FC7"/>
    <w:rsid w:val="00953FB3"/>
    <w:rsid w:val="0095455D"/>
    <w:rsid w:val="0095482D"/>
    <w:rsid w:val="009563AA"/>
    <w:rsid w:val="0095738C"/>
    <w:rsid w:val="00957540"/>
    <w:rsid w:val="009617F6"/>
    <w:rsid w:val="009623A4"/>
    <w:rsid w:val="00964C1A"/>
    <w:rsid w:val="0096515A"/>
    <w:rsid w:val="00965C79"/>
    <w:rsid w:val="00966601"/>
    <w:rsid w:val="00967094"/>
    <w:rsid w:val="00970079"/>
    <w:rsid w:val="009700A9"/>
    <w:rsid w:val="00970A79"/>
    <w:rsid w:val="00973C9C"/>
    <w:rsid w:val="009752BD"/>
    <w:rsid w:val="009758CF"/>
    <w:rsid w:val="009773CD"/>
    <w:rsid w:val="00981C20"/>
    <w:rsid w:val="00983BCE"/>
    <w:rsid w:val="00983DEA"/>
    <w:rsid w:val="0098672A"/>
    <w:rsid w:val="00986870"/>
    <w:rsid w:val="009875D0"/>
    <w:rsid w:val="00990141"/>
    <w:rsid w:val="00990D6F"/>
    <w:rsid w:val="0099157D"/>
    <w:rsid w:val="009920BF"/>
    <w:rsid w:val="0099378B"/>
    <w:rsid w:val="00993A67"/>
    <w:rsid w:val="00994D7F"/>
    <w:rsid w:val="009962A0"/>
    <w:rsid w:val="0099644E"/>
    <w:rsid w:val="00996F8C"/>
    <w:rsid w:val="00996FEE"/>
    <w:rsid w:val="009A0627"/>
    <w:rsid w:val="009A44CB"/>
    <w:rsid w:val="009A454D"/>
    <w:rsid w:val="009A472B"/>
    <w:rsid w:val="009A572A"/>
    <w:rsid w:val="009A5C14"/>
    <w:rsid w:val="009A7763"/>
    <w:rsid w:val="009A7B95"/>
    <w:rsid w:val="009B05E8"/>
    <w:rsid w:val="009B05F1"/>
    <w:rsid w:val="009B1165"/>
    <w:rsid w:val="009B126C"/>
    <w:rsid w:val="009B142C"/>
    <w:rsid w:val="009B2CF2"/>
    <w:rsid w:val="009B30DC"/>
    <w:rsid w:val="009B38A2"/>
    <w:rsid w:val="009B45E7"/>
    <w:rsid w:val="009B493A"/>
    <w:rsid w:val="009B4DE3"/>
    <w:rsid w:val="009B6612"/>
    <w:rsid w:val="009B6A55"/>
    <w:rsid w:val="009C0694"/>
    <w:rsid w:val="009C150B"/>
    <w:rsid w:val="009C158C"/>
    <w:rsid w:val="009C196E"/>
    <w:rsid w:val="009C3B52"/>
    <w:rsid w:val="009C3CA6"/>
    <w:rsid w:val="009C4A6F"/>
    <w:rsid w:val="009C6025"/>
    <w:rsid w:val="009C67E7"/>
    <w:rsid w:val="009C6A10"/>
    <w:rsid w:val="009C791B"/>
    <w:rsid w:val="009D0B9C"/>
    <w:rsid w:val="009D10BC"/>
    <w:rsid w:val="009D18A0"/>
    <w:rsid w:val="009D1BEE"/>
    <w:rsid w:val="009D1EF0"/>
    <w:rsid w:val="009D2082"/>
    <w:rsid w:val="009D478F"/>
    <w:rsid w:val="009D479C"/>
    <w:rsid w:val="009D5125"/>
    <w:rsid w:val="009D5ED6"/>
    <w:rsid w:val="009D69A8"/>
    <w:rsid w:val="009D705F"/>
    <w:rsid w:val="009D73BF"/>
    <w:rsid w:val="009D7BE9"/>
    <w:rsid w:val="009D7BFB"/>
    <w:rsid w:val="009D7E79"/>
    <w:rsid w:val="009E08AF"/>
    <w:rsid w:val="009E1143"/>
    <w:rsid w:val="009E161E"/>
    <w:rsid w:val="009E1D60"/>
    <w:rsid w:val="009E2925"/>
    <w:rsid w:val="009E3549"/>
    <w:rsid w:val="009E409E"/>
    <w:rsid w:val="009E4AE4"/>
    <w:rsid w:val="009E6019"/>
    <w:rsid w:val="009E62C5"/>
    <w:rsid w:val="009E63C4"/>
    <w:rsid w:val="009E7131"/>
    <w:rsid w:val="009E78FC"/>
    <w:rsid w:val="009E7ADE"/>
    <w:rsid w:val="009F0065"/>
    <w:rsid w:val="009F0651"/>
    <w:rsid w:val="009F0908"/>
    <w:rsid w:val="009F1BCB"/>
    <w:rsid w:val="009F2488"/>
    <w:rsid w:val="009F421F"/>
    <w:rsid w:val="009F4370"/>
    <w:rsid w:val="009F62DB"/>
    <w:rsid w:val="009F6E81"/>
    <w:rsid w:val="009F7321"/>
    <w:rsid w:val="00A00194"/>
    <w:rsid w:val="00A02556"/>
    <w:rsid w:val="00A02BF2"/>
    <w:rsid w:val="00A031F9"/>
    <w:rsid w:val="00A039A5"/>
    <w:rsid w:val="00A058A2"/>
    <w:rsid w:val="00A05A0B"/>
    <w:rsid w:val="00A05E0C"/>
    <w:rsid w:val="00A12FE6"/>
    <w:rsid w:val="00A135CC"/>
    <w:rsid w:val="00A13DD2"/>
    <w:rsid w:val="00A14944"/>
    <w:rsid w:val="00A2017E"/>
    <w:rsid w:val="00A206EC"/>
    <w:rsid w:val="00A2337E"/>
    <w:rsid w:val="00A24A28"/>
    <w:rsid w:val="00A24FA6"/>
    <w:rsid w:val="00A2547A"/>
    <w:rsid w:val="00A261BA"/>
    <w:rsid w:val="00A27D3C"/>
    <w:rsid w:val="00A3030B"/>
    <w:rsid w:val="00A32DAE"/>
    <w:rsid w:val="00A33C0F"/>
    <w:rsid w:val="00A3639E"/>
    <w:rsid w:val="00A3659C"/>
    <w:rsid w:val="00A40328"/>
    <w:rsid w:val="00A403A8"/>
    <w:rsid w:val="00A404B2"/>
    <w:rsid w:val="00A41901"/>
    <w:rsid w:val="00A428F3"/>
    <w:rsid w:val="00A446D4"/>
    <w:rsid w:val="00A4582E"/>
    <w:rsid w:val="00A466C5"/>
    <w:rsid w:val="00A472C5"/>
    <w:rsid w:val="00A50CD1"/>
    <w:rsid w:val="00A52008"/>
    <w:rsid w:val="00A528CC"/>
    <w:rsid w:val="00A52EF0"/>
    <w:rsid w:val="00A53CE6"/>
    <w:rsid w:val="00A5472F"/>
    <w:rsid w:val="00A54C4F"/>
    <w:rsid w:val="00A54C94"/>
    <w:rsid w:val="00A560DE"/>
    <w:rsid w:val="00A56F02"/>
    <w:rsid w:val="00A57FD5"/>
    <w:rsid w:val="00A615FC"/>
    <w:rsid w:val="00A62028"/>
    <w:rsid w:val="00A6320B"/>
    <w:rsid w:val="00A6358D"/>
    <w:rsid w:val="00A63F2B"/>
    <w:rsid w:val="00A63FA3"/>
    <w:rsid w:val="00A643BD"/>
    <w:rsid w:val="00A64491"/>
    <w:rsid w:val="00A644BC"/>
    <w:rsid w:val="00A6528A"/>
    <w:rsid w:val="00A666EB"/>
    <w:rsid w:val="00A66DA4"/>
    <w:rsid w:val="00A67944"/>
    <w:rsid w:val="00A7441C"/>
    <w:rsid w:val="00A75036"/>
    <w:rsid w:val="00A7606A"/>
    <w:rsid w:val="00A7702A"/>
    <w:rsid w:val="00A80332"/>
    <w:rsid w:val="00A80D18"/>
    <w:rsid w:val="00A81274"/>
    <w:rsid w:val="00A84413"/>
    <w:rsid w:val="00A85069"/>
    <w:rsid w:val="00A851D3"/>
    <w:rsid w:val="00A85C99"/>
    <w:rsid w:val="00A86059"/>
    <w:rsid w:val="00A8682A"/>
    <w:rsid w:val="00A877EA"/>
    <w:rsid w:val="00A90434"/>
    <w:rsid w:val="00A90848"/>
    <w:rsid w:val="00A90C30"/>
    <w:rsid w:val="00A90D5D"/>
    <w:rsid w:val="00A919A8"/>
    <w:rsid w:val="00A93FBF"/>
    <w:rsid w:val="00A95E04"/>
    <w:rsid w:val="00A9702D"/>
    <w:rsid w:val="00A97794"/>
    <w:rsid w:val="00A97AED"/>
    <w:rsid w:val="00AA09CE"/>
    <w:rsid w:val="00AA109A"/>
    <w:rsid w:val="00AA184D"/>
    <w:rsid w:val="00AA216E"/>
    <w:rsid w:val="00AA3ADF"/>
    <w:rsid w:val="00AA4945"/>
    <w:rsid w:val="00AA4F18"/>
    <w:rsid w:val="00AA7490"/>
    <w:rsid w:val="00AA7DEE"/>
    <w:rsid w:val="00AA7EB9"/>
    <w:rsid w:val="00AA7FB3"/>
    <w:rsid w:val="00AB0321"/>
    <w:rsid w:val="00AB0C10"/>
    <w:rsid w:val="00AB21EA"/>
    <w:rsid w:val="00AB22C2"/>
    <w:rsid w:val="00AB29DA"/>
    <w:rsid w:val="00AB2D5C"/>
    <w:rsid w:val="00AB51C0"/>
    <w:rsid w:val="00AB538D"/>
    <w:rsid w:val="00AB6073"/>
    <w:rsid w:val="00AB67E3"/>
    <w:rsid w:val="00AB70F7"/>
    <w:rsid w:val="00AC0AB2"/>
    <w:rsid w:val="00AC12F5"/>
    <w:rsid w:val="00AC250D"/>
    <w:rsid w:val="00AC37A1"/>
    <w:rsid w:val="00AC3C5D"/>
    <w:rsid w:val="00AC5006"/>
    <w:rsid w:val="00AC56CE"/>
    <w:rsid w:val="00AC59CF"/>
    <w:rsid w:val="00AC604F"/>
    <w:rsid w:val="00AC71B2"/>
    <w:rsid w:val="00AD0495"/>
    <w:rsid w:val="00AD2F15"/>
    <w:rsid w:val="00AD4224"/>
    <w:rsid w:val="00AD4E75"/>
    <w:rsid w:val="00AD6DC7"/>
    <w:rsid w:val="00AD74C8"/>
    <w:rsid w:val="00AE1909"/>
    <w:rsid w:val="00AE3181"/>
    <w:rsid w:val="00AE357C"/>
    <w:rsid w:val="00AE7EDF"/>
    <w:rsid w:val="00AF07F9"/>
    <w:rsid w:val="00AF11AA"/>
    <w:rsid w:val="00AF165B"/>
    <w:rsid w:val="00AF3257"/>
    <w:rsid w:val="00AF3D16"/>
    <w:rsid w:val="00AF3D8D"/>
    <w:rsid w:val="00AF4186"/>
    <w:rsid w:val="00B01969"/>
    <w:rsid w:val="00B04BED"/>
    <w:rsid w:val="00B06368"/>
    <w:rsid w:val="00B0750E"/>
    <w:rsid w:val="00B0771E"/>
    <w:rsid w:val="00B10470"/>
    <w:rsid w:val="00B10AEC"/>
    <w:rsid w:val="00B11217"/>
    <w:rsid w:val="00B12515"/>
    <w:rsid w:val="00B1525D"/>
    <w:rsid w:val="00B15C55"/>
    <w:rsid w:val="00B16963"/>
    <w:rsid w:val="00B2044E"/>
    <w:rsid w:val="00B21902"/>
    <w:rsid w:val="00B232D8"/>
    <w:rsid w:val="00B234B3"/>
    <w:rsid w:val="00B24E70"/>
    <w:rsid w:val="00B24FA2"/>
    <w:rsid w:val="00B304AF"/>
    <w:rsid w:val="00B30678"/>
    <w:rsid w:val="00B30BB7"/>
    <w:rsid w:val="00B320FF"/>
    <w:rsid w:val="00B32B9E"/>
    <w:rsid w:val="00B32FB1"/>
    <w:rsid w:val="00B35AFE"/>
    <w:rsid w:val="00B372E0"/>
    <w:rsid w:val="00B40329"/>
    <w:rsid w:val="00B40B8D"/>
    <w:rsid w:val="00B40C88"/>
    <w:rsid w:val="00B4103B"/>
    <w:rsid w:val="00B41973"/>
    <w:rsid w:val="00B42C23"/>
    <w:rsid w:val="00B432A2"/>
    <w:rsid w:val="00B45440"/>
    <w:rsid w:val="00B45C36"/>
    <w:rsid w:val="00B5466A"/>
    <w:rsid w:val="00B546E5"/>
    <w:rsid w:val="00B54E07"/>
    <w:rsid w:val="00B565C8"/>
    <w:rsid w:val="00B57F78"/>
    <w:rsid w:val="00B62F9E"/>
    <w:rsid w:val="00B66641"/>
    <w:rsid w:val="00B67EAB"/>
    <w:rsid w:val="00B67ED0"/>
    <w:rsid w:val="00B70E53"/>
    <w:rsid w:val="00B71451"/>
    <w:rsid w:val="00B74278"/>
    <w:rsid w:val="00B74705"/>
    <w:rsid w:val="00B74730"/>
    <w:rsid w:val="00B75149"/>
    <w:rsid w:val="00B75C22"/>
    <w:rsid w:val="00B803D6"/>
    <w:rsid w:val="00B83257"/>
    <w:rsid w:val="00B90291"/>
    <w:rsid w:val="00B903E3"/>
    <w:rsid w:val="00B90D14"/>
    <w:rsid w:val="00B911C2"/>
    <w:rsid w:val="00B91DF8"/>
    <w:rsid w:val="00B92A03"/>
    <w:rsid w:val="00B92ABE"/>
    <w:rsid w:val="00B92C72"/>
    <w:rsid w:val="00B9302A"/>
    <w:rsid w:val="00B93396"/>
    <w:rsid w:val="00B93CEE"/>
    <w:rsid w:val="00B9459E"/>
    <w:rsid w:val="00B94B20"/>
    <w:rsid w:val="00B95300"/>
    <w:rsid w:val="00B9543E"/>
    <w:rsid w:val="00B9594C"/>
    <w:rsid w:val="00B96F03"/>
    <w:rsid w:val="00B9734C"/>
    <w:rsid w:val="00BA0B05"/>
    <w:rsid w:val="00BA1C6F"/>
    <w:rsid w:val="00BA207D"/>
    <w:rsid w:val="00BA314C"/>
    <w:rsid w:val="00BA4235"/>
    <w:rsid w:val="00BA6C1F"/>
    <w:rsid w:val="00BB1E94"/>
    <w:rsid w:val="00BB4172"/>
    <w:rsid w:val="00BB57F4"/>
    <w:rsid w:val="00BB64DA"/>
    <w:rsid w:val="00BB66E4"/>
    <w:rsid w:val="00BB7712"/>
    <w:rsid w:val="00BC177D"/>
    <w:rsid w:val="00BC1A41"/>
    <w:rsid w:val="00BC2114"/>
    <w:rsid w:val="00BC2908"/>
    <w:rsid w:val="00BC3FC3"/>
    <w:rsid w:val="00BC5224"/>
    <w:rsid w:val="00BC6BAB"/>
    <w:rsid w:val="00BC6FDF"/>
    <w:rsid w:val="00BC7AE4"/>
    <w:rsid w:val="00BC7D79"/>
    <w:rsid w:val="00BD02DD"/>
    <w:rsid w:val="00BD09E2"/>
    <w:rsid w:val="00BD196C"/>
    <w:rsid w:val="00BD2E62"/>
    <w:rsid w:val="00BD4327"/>
    <w:rsid w:val="00BD4484"/>
    <w:rsid w:val="00BD4A4B"/>
    <w:rsid w:val="00BD4C27"/>
    <w:rsid w:val="00BD6E92"/>
    <w:rsid w:val="00BE0F25"/>
    <w:rsid w:val="00BE127D"/>
    <w:rsid w:val="00BE13DB"/>
    <w:rsid w:val="00BE274E"/>
    <w:rsid w:val="00BE336C"/>
    <w:rsid w:val="00BE3ADC"/>
    <w:rsid w:val="00BE445D"/>
    <w:rsid w:val="00BE4D2C"/>
    <w:rsid w:val="00BE7F6B"/>
    <w:rsid w:val="00BF0382"/>
    <w:rsid w:val="00BF082E"/>
    <w:rsid w:val="00BF1E0A"/>
    <w:rsid w:val="00BF27E9"/>
    <w:rsid w:val="00BF2A73"/>
    <w:rsid w:val="00BF38FD"/>
    <w:rsid w:val="00BF3947"/>
    <w:rsid w:val="00BF5B30"/>
    <w:rsid w:val="00BF5C4C"/>
    <w:rsid w:val="00BF6F76"/>
    <w:rsid w:val="00C02978"/>
    <w:rsid w:val="00C034A9"/>
    <w:rsid w:val="00C03859"/>
    <w:rsid w:val="00C043E8"/>
    <w:rsid w:val="00C05E01"/>
    <w:rsid w:val="00C05E42"/>
    <w:rsid w:val="00C063F1"/>
    <w:rsid w:val="00C078BD"/>
    <w:rsid w:val="00C07CD2"/>
    <w:rsid w:val="00C11973"/>
    <w:rsid w:val="00C11A47"/>
    <w:rsid w:val="00C12098"/>
    <w:rsid w:val="00C13805"/>
    <w:rsid w:val="00C15CA6"/>
    <w:rsid w:val="00C16807"/>
    <w:rsid w:val="00C2025F"/>
    <w:rsid w:val="00C21021"/>
    <w:rsid w:val="00C2167D"/>
    <w:rsid w:val="00C21BCC"/>
    <w:rsid w:val="00C2403A"/>
    <w:rsid w:val="00C240EF"/>
    <w:rsid w:val="00C24CC2"/>
    <w:rsid w:val="00C266D3"/>
    <w:rsid w:val="00C266DA"/>
    <w:rsid w:val="00C26FE9"/>
    <w:rsid w:val="00C27D03"/>
    <w:rsid w:val="00C304DA"/>
    <w:rsid w:val="00C31095"/>
    <w:rsid w:val="00C32321"/>
    <w:rsid w:val="00C3296F"/>
    <w:rsid w:val="00C341D8"/>
    <w:rsid w:val="00C349F0"/>
    <w:rsid w:val="00C34A1E"/>
    <w:rsid w:val="00C3720B"/>
    <w:rsid w:val="00C374F8"/>
    <w:rsid w:val="00C37781"/>
    <w:rsid w:val="00C41423"/>
    <w:rsid w:val="00C4334F"/>
    <w:rsid w:val="00C4434A"/>
    <w:rsid w:val="00C4485D"/>
    <w:rsid w:val="00C44974"/>
    <w:rsid w:val="00C44E9E"/>
    <w:rsid w:val="00C46098"/>
    <w:rsid w:val="00C46439"/>
    <w:rsid w:val="00C465CE"/>
    <w:rsid w:val="00C46A90"/>
    <w:rsid w:val="00C46B32"/>
    <w:rsid w:val="00C47A26"/>
    <w:rsid w:val="00C50E1F"/>
    <w:rsid w:val="00C516EC"/>
    <w:rsid w:val="00C517FD"/>
    <w:rsid w:val="00C53DC9"/>
    <w:rsid w:val="00C55A0A"/>
    <w:rsid w:val="00C571A9"/>
    <w:rsid w:val="00C61083"/>
    <w:rsid w:val="00C615A7"/>
    <w:rsid w:val="00C616BF"/>
    <w:rsid w:val="00C62C5D"/>
    <w:rsid w:val="00C646CF"/>
    <w:rsid w:val="00C64873"/>
    <w:rsid w:val="00C65A0A"/>
    <w:rsid w:val="00C65D1C"/>
    <w:rsid w:val="00C66628"/>
    <w:rsid w:val="00C67FAD"/>
    <w:rsid w:val="00C7004C"/>
    <w:rsid w:val="00C711C5"/>
    <w:rsid w:val="00C7335C"/>
    <w:rsid w:val="00C73C13"/>
    <w:rsid w:val="00C7422F"/>
    <w:rsid w:val="00C74528"/>
    <w:rsid w:val="00C74812"/>
    <w:rsid w:val="00C751BF"/>
    <w:rsid w:val="00C75AEB"/>
    <w:rsid w:val="00C762F7"/>
    <w:rsid w:val="00C7651A"/>
    <w:rsid w:val="00C77280"/>
    <w:rsid w:val="00C77C83"/>
    <w:rsid w:val="00C812AA"/>
    <w:rsid w:val="00C817E6"/>
    <w:rsid w:val="00C81AD1"/>
    <w:rsid w:val="00C82138"/>
    <w:rsid w:val="00C82CB6"/>
    <w:rsid w:val="00C83111"/>
    <w:rsid w:val="00C84265"/>
    <w:rsid w:val="00C84ED5"/>
    <w:rsid w:val="00C858DB"/>
    <w:rsid w:val="00C9070B"/>
    <w:rsid w:val="00C909ED"/>
    <w:rsid w:val="00C94791"/>
    <w:rsid w:val="00C95057"/>
    <w:rsid w:val="00C95700"/>
    <w:rsid w:val="00C96465"/>
    <w:rsid w:val="00C96D0A"/>
    <w:rsid w:val="00CA001B"/>
    <w:rsid w:val="00CA01AD"/>
    <w:rsid w:val="00CA061E"/>
    <w:rsid w:val="00CA1130"/>
    <w:rsid w:val="00CA2625"/>
    <w:rsid w:val="00CA3024"/>
    <w:rsid w:val="00CA3E46"/>
    <w:rsid w:val="00CA434D"/>
    <w:rsid w:val="00CA5458"/>
    <w:rsid w:val="00CA5475"/>
    <w:rsid w:val="00CA5DE4"/>
    <w:rsid w:val="00CA5E21"/>
    <w:rsid w:val="00CA6474"/>
    <w:rsid w:val="00CA6B9A"/>
    <w:rsid w:val="00CA6FE3"/>
    <w:rsid w:val="00CA7B7F"/>
    <w:rsid w:val="00CB0C96"/>
    <w:rsid w:val="00CB19DA"/>
    <w:rsid w:val="00CB1BF5"/>
    <w:rsid w:val="00CB2FA5"/>
    <w:rsid w:val="00CB44F6"/>
    <w:rsid w:val="00CB51FF"/>
    <w:rsid w:val="00CC0334"/>
    <w:rsid w:val="00CC1692"/>
    <w:rsid w:val="00CC1B8B"/>
    <w:rsid w:val="00CC1DF5"/>
    <w:rsid w:val="00CC1EAD"/>
    <w:rsid w:val="00CC311A"/>
    <w:rsid w:val="00CC3A59"/>
    <w:rsid w:val="00CC3C03"/>
    <w:rsid w:val="00CC4253"/>
    <w:rsid w:val="00CC4804"/>
    <w:rsid w:val="00CC5133"/>
    <w:rsid w:val="00CC54EB"/>
    <w:rsid w:val="00CC5F27"/>
    <w:rsid w:val="00CC63FE"/>
    <w:rsid w:val="00CC7437"/>
    <w:rsid w:val="00CD06C1"/>
    <w:rsid w:val="00CD20E1"/>
    <w:rsid w:val="00CD3BBB"/>
    <w:rsid w:val="00CD3C54"/>
    <w:rsid w:val="00CD7AAD"/>
    <w:rsid w:val="00CD7F31"/>
    <w:rsid w:val="00CE21A4"/>
    <w:rsid w:val="00CE275F"/>
    <w:rsid w:val="00CE325F"/>
    <w:rsid w:val="00CE3521"/>
    <w:rsid w:val="00CE3A2A"/>
    <w:rsid w:val="00CE5723"/>
    <w:rsid w:val="00CE63AA"/>
    <w:rsid w:val="00CE6DB3"/>
    <w:rsid w:val="00CF1168"/>
    <w:rsid w:val="00CF1C88"/>
    <w:rsid w:val="00CF3020"/>
    <w:rsid w:val="00CF3034"/>
    <w:rsid w:val="00CF3608"/>
    <w:rsid w:val="00CF3FC7"/>
    <w:rsid w:val="00CF5493"/>
    <w:rsid w:val="00CF5603"/>
    <w:rsid w:val="00CF67D8"/>
    <w:rsid w:val="00CF694E"/>
    <w:rsid w:val="00CF6B80"/>
    <w:rsid w:val="00CF6BF4"/>
    <w:rsid w:val="00CF7DE9"/>
    <w:rsid w:val="00D01398"/>
    <w:rsid w:val="00D0189D"/>
    <w:rsid w:val="00D02427"/>
    <w:rsid w:val="00D0403A"/>
    <w:rsid w:val="00D04528"/>
    <w:rsid w:val="00D050BA"/>
    <w:rsid w:val="00D05E32"/>
    <w:rsid w:val="00D06FC6"/>
    <w:rsid w:val="00D11CE7"/>
    <w:rsid w:val="00D12281"/>
    <w:rsid w:val="00D12A9E"/>
    <w:rsid w:val="00D14D03"/>
    <w:rsid w:val="00D15813"/>
    <w:rsid w:val="00D176D6"/>
    <w:rsid w:val="00D21F17"/>
    <w:rsid w:val="00D225A9"/>
    <w:rsid w:val="00D231C5"/>
    <w:rsid w:val="00D2772F"/>
    <w:rsid w:val="00D3079F"/>
    <w:rsid w:val="00D30C5E"/>
    <w:rsid w:val="00D3100A"/>
    <w:rsid w:val="00D312EB"/>
    <w:rsid w:val="00D332A8"/>
    <w:rsid w:val="00D3348F"/>
    <w:rsid w:val="00D3413F"/>
    <w:rsid w:val="00D3483B"/>
    <w:rsid w:val="00D3497A"/>
    <w:rsid w:val="00D35343"/>
    <w:rsid w:val="00D36A2A"/>
    <w:rsid w:val="00D373B0"/>
    <w:rsid w:val="00D4142C"/>
    <w:rsid w:val="00D4229B"/>
    <w:rsid w:val="00D4309A"/>
    <w:rsid w:val="00D446B4"/>
    <w:rsid w:val="00D45C32"/>
    <w:rsid w:val="00D462AD"/>
    <w:rsid w:val="00D46FF7"/>
    <w:rsid w:val="00D47431"/>
    <w:rsid w:val="00D47961"/>
    <w:rsid w:val="00D47AD5"/>
    <w:rsid w:val="00D518C3"/>
    <w:rsid w:val="00D51C09"/>
    <w:rsid w:val="00D51D3D"/>
    <w:rsid w:val="00D532C6"/>
    <w:rsid w:val="00D53F25"/>
    <w:rsid w:val="00D5426B"/>
    <w:rsid w:val="00D55010"/>
    <w:rsid w:val="00D5599A"/>
    <w:rsid w:val="00D55B21"/>
    <w:rsid w:val="00D569AD"/>
    <w:rsid w:val="00D57FB7"/>
    <w:rsid w:val="00D605E5"/>
    <w:rsid w:val="00D6268B"/>
    <w:rsid w:val="00D62A8B"/>
    <w:rsid w:val="00D6388B"/>
    <w:rsid w:val="00D65D14"/>
    <w:rsid w:val="00D663BB"/>
    <w:rsid w:val="00D664C7"/>
    <w:rsid w:val="00D71595"/>
    <w:rsid w:val="00D71B33"/>
    <w:rsid w:val="00D740F4"/>
    <w:rsid w:val="00D75900"/>
    <w:rsid w:val="00D802FD"/>
    <w:rsid w:val="00D814B5"/>
    <w:rsid w:val="00D869C5"/>
    <w:rsid w:val="00D86B41"/>
    <w:rsid w:val="00D871E5"/>
    <w:rsid w:val="00D87EE8"/>
    <w:rsid w:val="00D92BE8"/>
    <w:rsid w:val="00D932E1"/>
    <w:rsid w:val="00D937A6"/>
    <w:rsid w:val="00D94A5A"/>
    <w:rsid w:val="00D95258"/>
    <w:rsid w:val="00D9626A"/>
    <w:rsid w:val="00DA0427"/>
    <w:rsid w:val="00DA05B7"/>
    <w:rsid w:val="00DA1B0F"/>
    <w:rsid w:val="00DA1E39"/>
    <w:rsid w:val="00DA2171"/>
    <w:rsid w:val="00DA266F"/>
    <w:rsid w:val="00DA2928"/>
    <w:rsid w:val="00DA3AE2"/>
    <w:rsid w:val="00DA3B33"/>
    <w:rsid w:val="00DA42A3"/>
    <w:rsid w:val="00DA5B4D"/>
    <w:rsid w:val="00DA7075"/>
    <w:rsid w:val="00DA74A2"/>
    <w:rsid w:val="00DA7BCE"/>
    <w:rsid w:val="00DB0BBC"/>
    <w:rsid w:val="00DB191E"/>
    <w:rsid w:val="00DB5704"/>
    <w:rsid w:val="00DB6664"/>
    <w:rsid w:val="00DB73FB"/>
    <w:rsid w:val="00DB77E6"/>
    <w:rsid w:val="00DB7CD4"/>
    <w:rsid w:val="00DC02BF"/>
    <w:rsid w:val="00DC0DBE"/>
    <w:rsid w:val="00DC3423"/>
    <w:rsid w:val="00DC429D"/>
    <w:rsid w:val="00DC456A"/>
    <w:rsid w:val="00DC497E"/>
    <w:rsid w:val="00DC6E17"/>
    <w:rsid w:val="00DC6F8F"/>
    <w:rsid w:val="00DC7C69"/>
    <w:rsid w:val="00DD26B7"/>
    <w:rsid w:val="00DD35D4"/>
    <w:rsid w:val="00DD4CFC"/>
    <w:rsid w:val="00DD4DCA"/>
    <w:rsid w:val="00DD5CCB"/>
    <w:rsid w:val="00DD6003"/>
    <w:rsid w:val="00DD7B1D"/>
    <w:rsid w:val="00DE1A4C"/>
    <w:rsid w:val="00DE285A"/>
    <w:rsid w:val="00DE2F3F"/>
    <w:rsid w:val="00DE3645"/>
    <w:rsid w:val="00DE378A"/>
    <w:rsid w:val="00DE3973"/>
    <w:rsid w:val="00DE3B25"/>
    <w:rsid w:val="00DE4C19"/>
    <w:rsid w:val="00DE5417"/>
    <w:rsid w:val="00DE5630"/>
    <w:rsid w:val="00DE7227"/>
    <w:rsid w:val="00DE76FC"/>
    <w:rsid w:val="00DF2891"/>
    <w:rsid w:val="00DF355A"/>
    <w:rsid w:val="00DF3789"/>
    <w:rsid w:val="00DF3F22"/>
    <w:rsid w:val="00DF4BAB"/>
    <w:rsid w:val="00DF5D14"/>
    <w:rsid w:val="00DF608E"/>
    <w:rsid w:val="00DF6CC5"/>
    <w:rsid w:val="00DF6FF1"/>
    <w:rsid w:val="00DF7376"/>
    <w:rsid w:val="00DF76E0"/>
    <w:rsid w:val="00E007FD"/>
    <w:rsid w:val="00E015A9"/>
    <w:rsid w:val="00E01B45"/>
    <w:rsid w:val="00E02883"/>
    <w:rsid w:val="00E03C14"/>
    <w:rsid w:val="00E04029"/>
    <w:rsid w:val="00E05FD7"/>
    <w:rsid w:val="00E0744B"/>
    <w:rsid w:val="00E07667"/>
    <w:rsid w:val="00E07D23"/>
    <w:rsid w:val="00E07E8B"/>
    <w:rsid w:val="00E10861"/>
    <w:rsid w:val="00E10DB8"/>
    <w:rsid w:val="00E120BC"/>
    <w:rsid w:val="00E1258C"/>
    <w:rsid w:val="00E12B4E"/>
    <w:rsid w:val="00E1376C"/>
    <w:rsid w:val="00E15635"/>
    <w:rsid w:val="00E16BEE"/>
    <w:rsid w:val="00E2103E"/>
    <w:rsid w:val="00E21B02"/>
    <w:rsid w:val="00E23869"/>
    <w:rsid w:val="00E26156"/>
    <w:rsid w:val="00E266C9"/>
    <w:rsid w:val="00E27323"/>
    <w:rsid w:val="00E27FA3"/>
    <w:rsid w:val="00E302DF"/>
    <w:rsid w:val="00E3099D"/>
    <w:rsid w:val="00E333FB"/>
    <w:rsid w:val="00E3345C"/>
    <w:rsid w:val="00E35515"/>
    <w:rsid w:val="00E36F7B"/>
    <w:rsid w:val="00E37BE6"/>
    <w:rsid w:val="00E37FE7"/>
    <w:rsid w:val="00E40778"/>
    <w:rsid w:val="00E40F77"/>
    <w:rsid w:val="00E41BCE"/>
    <w:rsid w:val="00E41FE9"/>
    <w:rsid w:val="00E4501A"/>
    <w:rsid w:val="00E4586E"/>
    <w:rsid w:val="00E46051"/>
    <w:rsid w:val="00E46187"/>
    <w:rsid w:val="00E46AD3"/>
    <w:rsid w:val="00E46BFA"/>
    <w:rsid w:val="00E477BE"/>
    <w:rsid w:val="00E47B62"/>
    <w:rsid w:val="00E513F5"/>
    <w:rsid w:val="00E51517"/>
    <w:rsid w:val="00E51AFF"/>
    <w:rsid w:val="00E51F74"/>
    <w:rsid w:val="00E52088"/>
    <w:rsid w:val="00E54533"/>
    <w:rsid w:val="00E55868"/>
    <w:rsid w:val="00E55FE6"/>
    <w:rsid w:val="00E60C14"/>
    <w:rsid w:val="00E61815"/>
    <w:rsid w:val="00E620C7"/>
    <w:rsid w:val="00E653B8"/>
    <w:rsid w:val="00E65D86"/>
    <w:rsid w:val="00E66967"/>
    <w:rsid w:val="00E67E1C"/>
    <w:rsid w:val="00E70E2A"/>
    <w:rsid w:val="00E72C1A"/>
    <w:rsid w:val="00E74BBE"/>
    <w:rsid w:val="00E763CD"/>
    <w:rsid w:val="00E76A0F"/>
    <w:rsid w:val="00E7711B"/>
    <w:rsid w:val="00E80DB0"/>
    <w:rsid w:val="00E8114F"/>
    <w:rsid w:val="00E82B64"/>
    <w:rsid w:val="00E83E08"/>
    <w:rsid w:val="00E850A3"/>
    <w:rsid w:val="00E8528B"/>
    <w:rsid w:val="00E86A15"/>
    <w:rsid w:val="00E87034"/>
    <w:rsid w:val="00E904B3"/>
    <w:rsid w:val="00E90733"/>
    <w:rsid w:val="00E90DC2"/>
    <w:rsid w:val="00E90F26"/>
    <w:rsid w:val="00E91D52"/>
    <w:rsid w:val="00E931A2"/>
    <w:rsid w:val="00E93D9A"/>
    <w:rsid w:val="00E95EEF"/>
    <w:rsid w:val="00E96340"/>
    <w:rsid w:val="00E96ECE"/>
    <w:rsid w:val="00EA1038"/>
    <w:rsid w:val="00EA1BF3"/>
    <w:rsid w:val="00EA28C6"/>
    <w:rsid w:val="00EA38D5"/>
    <w:rsid w:val="00EA4363"/>
    <w:rsid w:val="00EA5409"/>
    <w:rsid w:val="00EA5F10"/>
    <w:rsid w:val="00EA5F30"/>
    <w:rsid w:val="00EA6F59"/>
    <w:rsid w:val="00EA789A"/>
    <w:rsid w:val="00EB0F10"/>
    <w:rsid w:val="00EB19DF"/>
    <w:rsid w:val="00EB219C"/>
    <w:rsid w:val="00EB321E"/>
    <w:rsid w:val="00EB6374"/>
    <w:rsid w:val="00EB64FC"/>
    <w:rsid w:val="00EB7B3E"/>
    <w:rsid w:val="00EC0FC7"/>
    <w:rsid w:val="00EC2B16"/>
    <w:rsid w:val="00EC3466"/>
    <w:rsid w:val="00EC37C6"/>
    <w:rsid w:val="00EC3CEA"/>
    <w:rsid w:val="00EC744B"/>
    <w:rsid w:val="00EC778D"/>
    <w:rsid w:val="00EC7B5A"/>
    <w:rsid w:val="00ED1573"/>
    <w:rsid w:val="00ED1966"/>
    <w:rsid w:val="00ED419B"/>
    <w:rsid w:val="00ED4DA5"/>
    <w:rsid w:val="00ED5501"/>
    <w:rsid w:val="00ED5AF3"/>
    <w:rsid w:val="00ED6E55"/>
    <w:rsid w:val="00ED7419"/>
    <w:rsid w:val="00EE050F"/>
    <w:rsid w:val="00EE081A"/>
    <w:rsid w:val="00EE1131"/>
    <w:rsid w:val="00EE1EB5"/>
    <w:rsid w:val="00EE243B"/>
    <w:rsid w:val="00EE3398"/>
    <w:rsid w:val="00EE3F33"/>
    <w:rsid w:val="00EE60DB"/>
    <w:rsid w:val="00EE7E38"/>
    <w:rsid w:val="00EE7EEA"/>
    <w:rsid w:val="00EF0576"/>
    <w:rsid w:val="00EF1D7E"/>
    <w:rsid w:val="00EF39FC"/>
    <w:rsid w:val="00EF4C2D"/>
    <w:rsid w:val="00EF4CEE"/>
    <w:rsid w:val="00EF5638"/>
    <w:rsid w:val="00EF6801"/>
    <w:rsid w:val="00EF7F09"/>
    <w:rsid w:val="00F0006B"/>
    <w:rsid w:val="00F016CA"/>
    <w:rsid w:val="00F01E4F"/>
    <w:rsid w:val="00F04143"/>
    <w:rsid w:val="00F0482C"/>
    <w:rsid w:val="00F0740D"/>
    <w:rsid w:val="00F07750"/>
    <w:rsid w:val="00F07780"/>
    <w:rsid w:val="00F106C0"/>
    <w:rsid w:val="00F10988"/>
    <w:rsid w:val="00F12073"/>
    <w:rsid w:val="00F12149"/>
    <w:rsid w:val="00F1227F"/>
    <w:rsid w:val="00F13587"/>
    <w:rsid w:val="00F13EAC"/>
    <w:rsid w:val="00F16387"/>
    <w:rsid w:val="00F203C7"/>
    <w:rsid w:val="00F20A07"/>
    <w:rsid w:val="00F210E0"/>
    <w:rsid w:val="00F21646"/>
    <w:rsid w:val="00F21917"/>
    <w:rsid w:val="00F27A4B"/>
    <w:rsid w:val="00F27BB1"/>
    <w:rsid w:val="00F32B0E"/>
    <w:rsid w:val="00F33DC4"/>
    <w:rsid w:val="00F356DB"/>
    <w:rsid w:val="00F35946"/>
    <w:rsid w:val="00F359C0"/>
    <w:rsid w:val="00F37DBE"/>
    <w:rsid w:val="00F401F9"/>
    <w:rsid w:val="00F41F6A"/>
    <w:rsid w:val="00F430AC"/>
    <w:rsid w:val="00F438E3"/>
    <w:rsid w:val="00F462D5"/>
    <w:rsid w:val="00F46975"/>
    <w:rsid w:val="00F477B9"/>
    <w:rsid w:val="00F5098F"/>
    <w:rsid w:val="00F53604"/>
    <w:rsid w:val="00F54A39"/>
    <w:rsid w:val="00F54B2D"/>
    <w:rsid w:val="00F55625"/>
    <w:rsid w:val="00F55741"/>
    <w:rsid w:val="00F55FAE"/>
    <w:rsid w:val="00F60171"/>
    <w:rsid w:val="00F6086F"/>
    <w:rsid w:val="00F613FA"/>
    <w:rsid w:val="00F61D14"/>
    <w:rsid w:val="00F64C96"/>
    <w:rsid w:val="00F6631F"/>
    <w:rsid w:val="00F70E60"/>
    <w:rsid w:val="00F72112"/>
    <w:rsid w:val="00F723D6"/>
    <w:rsid w:val="00F724AB"/>
    <w:rsid w:val="00F75E3A"/>
    <w:rsid w:val="00F7612F"/>
    <w:rsid w:val="00F77E87"/>
    <w:rsid w:val="00F806A9"/>
    <w:rsid w:val="00F81620"/>
    <w:rsid w:val="00F81EA3"/>
    <w:rsid w:val="00F8217F"/>
    <w:rsid w:val="00F82DDD"/>
    <w:rsid w:val="00F83113"/>
    <w:rsid w:val="00F83C22"/>
    <w:rsid w:val="00F84521"/>
    <w:rsid w:val="00F8510F"/>
    <w:rsid w:val="00F87451"/>
    <w:rsid w:val="00F906AB"/>
    <w:rsid w:val="00F91766"/>
    <w:rsid w:val="00F91A6E"/>
    <w:rsid w:val="00F91E7B"/>
    <w:rsid w:val="00F91F3D"/>
    <w:rsid w:val="00F94EE2"/>
    <w:rsid w:val="00F9684B"/>
    <w:rsid w:val="00F96B7D"/>
    <w:rsid w:val="00F97412"/>
    <w:rsid w:val="00FA0537"/>
    <w:rsid w:val="00FA1A05"/>
    <w:rsid w:val="00FA25EA"/>
    <w:rsid w:val="00FA2AC8"/>
    <w:rsid w:val="00FA2ECA"/>
    <w:rsid w:val="00FA2FA8"/>
    <w:rsid w:val="00FA4875"/>
    <w:rsid w:val="00FA65E5"/>
    <w:rsid w:val="00FA6A63"/>
    <w:rsid w:val="00FA6D1C"/>
    <w:rsid w:val="00FB1348"/>
    <w:rsid w:val="00FB1EA0"/>
    <w:rsid w:val="00FB2144"/>
    <w:rsid w:val="00FB22F2"/>
    <w:rsid w:val="00FB2DA4"/>
    <w:rsid w:val="00FB31E9"/>
    <w:rsid w:val="00FB45C2"/>
    <w:rsid w:val="00FB6808"/>
    <w:rsid w:val="00FB6B51"/>
    <w:rsid w:val="00FC2786"/>
    <w:rsid w:val="00FC36CB"/>
    <w:rsid w:val="00FC3779"/>
    <w:rsid w:val="00FC400D"/>
    <w:rsid w:val="00FC58AA"/>
    <w:rsid w:val="00FC6BB3"/>
    <w:rsid w:val="00FC77DD"/>
    <w:rsid w:val="00FC7979"/>
    <w:rsid w:val="00FC7CE2"/>
    <w:rsid w:val="00FD1134"/>
    <w:rsid w:val="00FD1489"/>
    <w:rsid w:val="00FD15A5"/>
    <w:rsid w:val="00FD2169"/>
    <w:rsid w:val="00FD24D9"/>
    <w:rsid w:val="00FD2B4A"/>
    <w:rsid w:val="00FD43CA"/>
    <w:rsid w:val="00FD57BD"/>
    <w:rsid w:val="00FD7C6C"/>
    <w:rsid w:val="00FE13C6"/>
    <w:rsid w:val="00FE23C6"/>
    <w:rsid w:val="00FE2E5D"/>
    <w:rsid w:val="00FE54A8"/>
    <w:rsid w:val="00FE6741"/>
    <w:rsid w:val="00FE6B1A"/>
    <w:rsid w:val="00FF06F9"/>
    <w:rsid w:val="00FF0FB4"/>
    <w:rsid w:val="00FF12B9"/>
    <w:rsid w:val="00FF1A88"/>
    <w:rsid w:val="00FF2B2A"/>
    <w:rsid w:val="00FF2B97"/>
    <w:rsid w:val="00FF3080"/>
    <w:rsid w:val="00FF45AE"/>
    <w:rsid w:val="00FF4BB6"/>
    <w:rsid w:val="00FF4EE6"/>
    <w:rsid w:val="00FF4F62"/>
    <w:rsid w:val="00FF529B"/>
    <w:rsid w:val="00FF5907"/>
    <w:rsid w:val="00FF683E"/>
    <w:rsid w:val="01045CFF"/>
    <w:rsid w:val="0150135E"/>
    <w:rsid w:val="0190526E"/>
    <w:rsid w:val="023A1FF5"/>
    <w:rsid w:val="025A02B6"/>
    <w:rsid w:val="025E4D25"/>
    <w:rsid w:val="027A73B5"/>
    <w:rsid w:val="028343D0"/>
    <w:rsid w:val="0288177F"/>
    <w:rsid w:val="029B17FC"/>
    <w:rsid w:val="02A15D87"/>
    <w:rsid w:val="02FB417E"/>
    <w:rsid w:val="030D2FAB"/>
    <w:rsid w:val="0334100A"/>
    <w:rsid w:val="035F73AA"/>
    <w:rsid w:val="03711A59"/>
    <w:rsid w:val="03731CB9"/>
    <w:rsid w:val="037A3B16"/>
    <w:rsid w:val="03A104E6"/>
    <w:rsid w:val="03B42B71"/>
    <w:rsid w:val="03B73E9A"/>
    <w:rsid w:val="03F14378"/>
    <w:rsid w:val="03FF6FC0"/>
    <w:rsid w:val="0403683C"/>
    <w:rsid w:val="04411D8D"/>
    <w:rsid w:val="050E44F0"/>
    <w:rsid w:val="05120410"/>
    <w:rsid w:val="05381C61"/>
    <w:rsid w:val="05511D29"/>
    <w:rsid w:val="0557041D"/>
    <w:rsid w:val="05843056"/>
    <w:rsid w:val="058575CC"/>
    <w:rsid w:val="05C03395"/>
    <w:rsid w:val="0695479F"/>
    <w:rsid w:val="06C30AE5"/>
    <w:rsid w:val="073052D8"/>
    <w:rsid w:val="074C498D"/>
    <w:rsid w:val="076570F1"/>
    <w:rsid w:val="077971D9"/>
    <w:rsid w:val="078238CE"/>
    <w:rsid w:val="07860DB4"/>
    <w:rsid w:val="07921CE0"/>
    <w:rsid w:val="07AB29B2"/>
    <w:rsid w:val="07DB627D"/>
    <w:rsid w:val="08933E94"/>
    <w:rsid w:val="09180293"/>
    <w:rsid w:val="09323AEF"/>
    <w:rsid w:val="09C675B2"/>
    <w:rsid w:val="09D646AA"/>
    <w:rsid w:val="09E73BCC"/>
    <w:rsid w:val="09FC0971"/>
    <w:rsid w:val="0A297FB1"/>
    <w:rsid w:val="0A7B6F51"/>
    <w:rsid w:val="0A7F32A8"/>
    <w:rsid w:val="0AA85E1C"/>
    <w:rsid w:val="0AB17F0C"/>
    <w:rsid w:val="0ACF291B"/>
    <w:rsid w:val="0ADD6C01"/>
    <w:rsid w:val="0AFF02E7"/>
    <w:rsid w:val="0B00728D"/>
    <w:rsid w:val="0B8C211C"/>
    <w:rsid w:val="0B904603"/>
    <w:rsid w:val="0BAB0910"/>
    <w:rsid w:val="0BAE1CF4"/>
    <w:rsid w:val="0BD73DCF"/>
    <w:rsid w:val="0CEB2260"/>
    <w:rsid w:val="0CFB5DD9"/>
    <w:rsid w:val="0D1D038B"/>
    <w:rsid w:val="0D3D648A"/>
    <w:rsid w:val="0D646A50"/>
    <w:rsid w:val="0DE44B6B"/>
    <w:rsid w:val="0E034750"/>
    <w:rsid w:val="0E1D3671"/>
    <w:rsid w:val="0E1F5AA9"/>
    <w:rsid w:val="0E7F48B6"/>
    <w:rsid w:val="0EA15194"/>
    <w:rsid w:val="0EDA34AE"/>
    <w:rsid w:val="0EE34411"/>
    <w:rsid w:val="0F1C2685"/>
    <w:rsid w:val="0F224DB7"/>
    <w:rsid w:val="0F7D4810"/>
    <w:rsid w:val="10050FDE"/>
    <w:rsid w:val="102E349A"/>
    <w:rsid w:val="10431260"/>
    <w:rsid w:val="1089100A"/>
    <w:rsid w:val="10D46F57"/>
    <w:rsid w:val="10DD3782"/>
    <w:rsid w:val="10E55ACF"/>
    <w:rsid w:val="116619E1"/>
    <w:rsid w:val="11832AAA"/>
    <w:rsid w:val="11844FD0"/>
    <w:rsid w:val="11F109C9"/>
    <w:rsid w:val="128F183A"/>
    <w:rsid w:val="12CF6217"/>
    <w:rsid w:val="12E01AC3"/>
    <w:rsid w:val="130F7BED"/>
    <w:rsid w:val="131618B8"/>
    <w:rsid w:val="132D0579"/>
    <w:rsid w:val="13976F5D"/>
    <w:rsid w:val="13A36FCE"/>
    <w:rsid w:val="13C0621A"/>
    <w:rsid w:val="14557DC5"/>
    <w:rsid w:val="14797E5E"/>
    <w:rsid w:val="149A6199"/>
    <w:rsid w:val="14B65467"/>
    <w:rsid w:val="157417DC"/>
    <w:rsid w:val="15A4742F"/>
    <w:rsid w:val="15C20DD1"/>
    <w:rsid w:val="15CA5247"/>
    <w:rsid w:val="15E84376"/>
    <w:rsid w:val="1631098C"/>
    <w:rsid w:val="1643712F"/>
    <w:rsid w:val="166D0E4A"/>
    <w:rsid w:val="16AF2F70"/>
    <w:rsid w:val="16BE319E"/>
    <w:rsid w:val="16E64AC4"/>
    <w:rsid w:val="16FE1795"/>
    <w:rsid w:val="171F0130"/>
    <w:rsid w:val="1727747B"/>
    <w:rsid w:val="175626A7"/>
    <w:rsid w:val="176F6C94"/>
    <w:rsid w:val="179E4EFF"/>
    <w:rsid w:val="18043521"/>
    <w:rsid w:val="180D2B3E"/>
    <w:rsid w:val="18207004"/>
    <w:rsid w:val="185C461C"/>
    <w:rsid w:val="18736112"/>
    <w:rsid w:val="188B7DC8"/>
    <w:rsid w:val="188D0B43"/>
    <w:rsid w:val="192C237F"/>
    <w:rsid w:val="19342AED"/>
    <w:rsid w:val="194E6C53"/>
    <w:rsid w:val="19612E3E"/>
    <w:rsid w:val="19BC52DA"/>
    <w:rsid w:val="19BF34F4"/>
    <w:rsid w:val="1AB8095D"/>
    <w:rsid w:val="1AC544B8"/>
    <w:rsid w:val="1AE71FB3"/>
    <w:rsid w:val="1AFA146B"/>
    <w:rsid w:val="1B113785"/>
    <w:rsid w:val="1B4B2929"/>
    <w:rsid w:val="1B7D074D"/>
    <w:rsid w:val="1BA935A6"/>
    <w:rsid w:val="1BB150D8"/>
    <w:rsid w:val="1BD30662"/>
    <w:rsid w:val="1C7146F8"/>
    <w:rsid w:val="1C7255A1"/>
    <w:rsid w:val="1C7A7B17"/>
    <w:rsid w:val="1CA0626D"/>
    <w:rsid w:val="1CAD2B3B"/>
    <w:rsid w:val="1D231173"/>
    <w:rsid w:val="1D471C26"/>
    <w:rsid w:val="1D544537"/>
    <w:rsid w:val="1D703102"/>
    <w:rsid w:val="1D754F0A"/>
    <w:rsid w:val="1DBD45C6"/>
    <w:rsid w:val="1DBD74CD"/>
    <w:rsid w:val="1DC73417"/>
    <w:rsid w:val="1E0A52DD"/>
    <w:rsid w:val="1E104F81"/>
    <w:rsid w:val="1E576874"/>
    <w:rsid w:val="1E8562BB"/>
    <w:rsid w:val="1EA35B1D"/>
    <w:rsid w:val="1EBC4E49"/>
    <w:rsid w:val="1EE2790E"/>
    <w:rsid w:val="1EE517F4"/>
    <w:rsid w:val="1F0269D6"/>
    <w:rsid w:val="1F8964DC"/>
    <w:rsid w:val="1FBC1268"/>
    <w:rsid w:val="1FC72134"/>
    <w:rsid w:val="1FF76AFF"/>
    <w:rsid w:val="201B0406"/>
    <w:rsid w:val="201D3CC5"/>
    <w:rsid w:val="203C2962"/>
    <w:rsid w:val="203F501E"/>
    <w:rsid w:val="204E212C"/>
    <w:rsid w:val="208918FA"/>
    <w:rsid w:val="20F31BD1"/>
    <w:rsid w:val="211321B5"/>
    <w:rsid w:val="213250A3"/>
    <w:rsid w:val="21367DC4"/>
    <w:rsid w:val="21610353"/>
    <w:rsid w:val="21794544"/>
    <w:rsid w:val="21BB14F5"/>
    <w:rsid w:val="21D4115A"/>
    <w:rsid w:val="21DC2DD1"/>
    <w:rsid w:val="21E640F8"/>
    <w:rsid w:val="21F94CF5"/>
    <w:rsid w:val="21FB6CB4"/>
    <w:rsid w:val="22340085"/>
    <w:rsid w:val="22635888"/>
    <w:rsid w:val="226E0741"/>
    <w:rsid w:val="2275647C"/>
    <w:rsid w:val="22931F5B"/>
    <w:rsid w:val="22E304A0"/>
    <w:rsid w:val="232A29C7"/>
    <w:rsid w:val="234642D6"/>
    <w:rsid w:val="23A65E60"/>
    <w:rsid w:val="23EC7071"/>
    <w:rsid w:val="24303DBF"/>
    <w:rsid w:val="24623EC4"/>
    <w:rsid w:val="24696F56"/>
    <w:rsid w:val="248A64BB"/>
    <w:rsid w:val="24B93906"/>
    <w:rsid w:val="24F91A9C"/>
    <w:rsid w:val="2507113F"/>
    <w:rsid w:val="253475BD"/>
    <w:rsid w:val="255326E9"/>
    <w:rsid w:val="255E09B8"/>
    <w:rsid w:val="256258D0"/>
    <w:rsid w:val="257F4569"/>
    <w:rsid w:val="25914B66"/>
    <w:rsid w:val="25A4291B"/>
    <w:rsid w:val="25E13BA3"/>
    <w:rsid w:val="26074C44"/>
    <w:rsid w:val="261774D7"/>
    <w:rsid w:val="26294C66"/>
    <w:rsid w:val="26A91801"/>
    <w:rsid w:val="26C72E54"/>
    <w:rsid w:val="26DC3176"/>
    <w:rsid w:val="2720246E"/>
    <w:rsid w:val="27852000"/>
    <w:rsid w:val="28302C87"/>
    <w:rsid w:val="285D453B"/>
    <w:rsid w:val="28707BC8"/>
    <w:rsid w:val="289369A5"/>
    <w:rsid w:val="289A6B28"/>
    <w:rsid w:val="28B5686C"/>
    <w:rsid w:val="294560FD"/>
    <w:rsid w:val="29981C34"/>
    <w:rsid w:val="299A6C66"/>
    <w:rsid w:val="29B9561D"/>
    <w:rsid w:val="29C00168"/>
    <w:rsid w:val="2A101AEC"/>
    <w:rsid w:val="2A347C23"/>
    <w:rsid w:val="2A4F0978"/>
    <w:rsid w:val="2A810A1D"/>
    <w:rsid w:val="2B420AE0"/>
    <w:rsid w:val="2B474549"/>
    <w:rsid w:val="2B4B5F00"/>
    <w:rsid w:val="2B4B6F72"/>
    <w:rsid w:val="2B6E16AA"/>
    <w:rsid w:val="2BB42703"/>
    <w:rsid w:val="2BC309FD"/>
    <w:rsid w:val="2BCD4D41"/>
    <w:rsid w:val="2C5C2366"/>
    <w:rsid w:val="2C6B77D5"/>
    <w:rsid w:val="2C705850"/>
    <w:rsid w:val="2C9217EA"/>
    <w:rsid w:val="2CA46CB3"/>
    <w:rsid w:val="2D4E3333"/>
    <w:rsid w:val="2DE438C9"/>
    <w:rsid w:val="2E412243"/>
    <w:rsid w:val="2E58408A"/>
    <w:rsid w:val="2E7606D7"/>
    <w:rsid w:val="2E896959"/>
    <w:rsid w:val="2EA776F9"/>
    <w:rsid w:val="2EB32938"/>
    <w:rsid w:val="2EBD43D9"/>
    <w:rsid w:val="2F2A6D0C"/>
    <w:rsid w:val="2F6F5520"/>
    <w:rsid w:val="2F80338E"/>
    <w:rsid w:val="2F9A56D9"/>
    <w:rsid w:val="2FDC55D2"/>
    <w:rsid w:val="2FF835B7"/>
    <w:rsid w:val="302F1551"/>
    <w:rsid w:val="30712C22"/>
    <w:rsid w:val="3085230A"/>
    <w:rsid w:val="30A51BBE"/>
    <w:rsid w:val="30AF43AA"/>
    <w:rsid w:val="30B07EC0"/>
    <w:rsid w:val="30D97409"/>
    <w:rsid w:val="30DB3EB5"/>
    <w:rsid w:val="31353AB5"/>
    <w:rsid w:val="31A27D2D"/>
    <w:rsid w:val="31CF118C"/>
    <w:rsid w:val="31D2428C"/>
    <w:rsid w:val="32135324"/>
    <w:rsid w:val="32225ABD"/>
    <w:rsid w:val="32245E1C"/>
    <w:rsid w:val="32317E74"/>
    <w:rsid w:val="329307BB"/>
    <w:rsid w:val="32E23CFE"/>
    <w:rsid w:val="32F17928"/>
    <w:rsid w:val="32F60489"/>
    <w:rsid w:val="33146E3C"/>
    <w:rsid w:val="33524A5D"/>
    <w:rsid w:val="338B7C1B"/>
    <w:rsid w:val="338E70DF"/>
    <w:rsid w:val="339E29AB"/>
    <w:rsid w:val="33C46AF7"/>
    <w:rsid w:val="33D95CC8"/>
    <w:rsid w:val="341E0AFC"/>
    <w:rsid w:val="34591CB0"/>
    <w:rsid w:val="346202B8"/>
    <w:rsid w:val="347D1E21"/>
    <w:rsid w:val="34927F86"/>
    <w:rsid w:val="34E45E46"/>
    <w:rsid w:val="35093E85"/>
    <w:rsid w:val="350B311F"/>
    <w:rsid w:val="35492D73"/>
    <w:rsid w:val="357044DD"/>
    <w:rsid w:val="359811DA"/>
    <w:rsid w:val="35CF1316"/>
    <w:rsid w:val="35D51731"/>
    <w:rsid w:val="35E0399A"/>
    <w:rsid w:val="36205E5D"/>
    <w:rsid w:val="363020AB"/>
    <w:rsid w:val="36804EBA"/>
    <w:rsid w:val="36903F1E"/>
    <w:rsid w:val="36A0501A"/>
    <w:rsid w:val="36B31C26"/>
    <w:rsid w:val="3701151C"/>
    <w:rsid w:val="370137E2"/>
    <w:rsid w:val="3708207D"/>
    <w:rsid w:val="373D1AB6"/>
    <w:rsid w:val="375463DE"/>
    <w:rsid w:val="376D122B"/>
    <w:rsid w:val="37834036"/>
    <w:rsid w:val="379332F4"/>
    <w:rsid w:val="37D144CC"/>
    <w:rsid w:val="37ED38EE"/>
    <w:rsid w:val="37F702D3"/>
    <w:rsid w:val="380C2C06"/>
    <w:rsid w:val="38127AFD"/>
    <w:rsid w:val="381C01BF"/>
    <w:rsid w:val="385D6E62"/>
    <w:rsid w:val="387A6293"/>
    <w:rsid w:val="388C4929"/>
    <w:rsid w:val="38B118AF"/>
    <w:rsid w:val="38B703C8"/>
    <w:rsid w:val="38C318E0"/>
    <w:rsid w:val="38E46EB4"/>
    <w:rsid w:val="38F808B4"/>
    <w:rsid w:val="391A523B"/>
    <w:rsid w:val="398B135E"/>
    <w:rsid w:val="399341E2"/>
    <w:rsid w:val="39E54081"/>
    <w:rsid w:val="3A3D42B9"/>
    <w:rsid w:val="3A6735F6"/>
    <w:rsid w:val="3AA4504E"/>
    <w:rsid w:val="3AC41BA9"/>
    <w:rsid w:val="3AF4265E"/>
    <w:rsid w:val="3B0102A6"/>
    <w:rsid w:val="3B180C89"/>
    <w:rsid w:val="3B2D6784"/>
    <w:rsid w:val="3B506EBD"/>
    <w:rsid w:val="3B64373D"/>
    <w:rsid w:val="3B8D3770"/>
    <w:rsid w:val="3C0071F6"/>
    <w:rsid w:val="3C096F24"/>
    <w:rsid w:val="3C365873"/>
    <w:rsid w:val="3C4C5FFB"/>
    <w:rsid w:val="3CE1668C"/>
    <w:rsid w:val="3D056E7A"/>
    <w:rsid w:val="3D1E515B"/>
    <w:rsid w:val="3D3306DF"/>
    <w:rsid w:val="3D5E5050"/>
    <w:rsid w:val="3D677137"/>
    <w:rsid w:val="3E047A31"/>
    <w:rsid w:val="3E1832AD"/>
    <w:rsid w:val="3E531AF3"/>
    <w:rsid w:val="3EE52A3B"/>
    <w:rsid w:val="3FBA6EFC"/>
    <w:rsid w:val="3FF543AA"/>
    <w:rsid w:val="40AB61B4"/>
    <w:rsid w:val="40B45581"/>
    <w:rsid w:val="40E966AC"/>
    <w:rsid w:val="41487234"/>
    <w:rsid w:val="416E7C7F"/>
    <w:rsid w:val="41B20847"/>
    <w:rsid w:val="41BC2488"/>
    <w:rsid w:val="41C05CFC"/>
    <w:rsid w:val="42542D70"/>
    <w:rsid w:val="4260438F"/>
    <w:rsid w:val="428772D4"/>
    <w:rsid w:val="42911F1C"/>
    <w:rsid w:val="42F35C05"/>
    <w:rsid w:val="42FF2051"/>
    <w:rsid w:val="43114505"/>
    <w:rsid w:val="43194D52"/>
    <w:rsid w:val="432321D8"/>
    <w:rsid w:val="437003E8"/>
    <w:rsid w:val="43A63361"/>
    <w:rsid w:val="43E40DD9"/>
    <w:rsid w:val="442E09DE"/>
    <w:rsid w:val="444907E8"/>
    <w:rsid w:val="44621D69"/>
    <w:rsid w:val="447022A8"/>
    <w:rsid w:val="44AF0699"/>
    <w:rsid w:val="44DF4418"/>
    <w:rsid w:val="44EA5B5B"/>
    <w:rsid w:val="45236C17"/>
    <w:rsid w:val="45386E83"/>
    <w:rsid w:val="45B87ADC"/>
    <w:rsid w:val="45CE34DE"/>
    <w:rsid w:val="46064560"/>
    <w:rsid w:val="461B6BD9"/>
    <w:rsid w:val="46376CEA"/>
    <w:rsid w:val="465C2546"/>
    <w:rsid w:val="466F30A4"/>
    <w:rsid w:val="4675469F"/>
    <w:rsid w:val="46852B44"/>
    <w:rsid w:val="46CC5D2F"/>
    <w:rsid w:val="46EE6590"/>
    <w:rsid w:val="470431A3"/>
    <w:rsid w:val="47817008"/>
    <w:rsid w:val="47A14E5D"/>
    <w:rsid w:val="47A22500"/>
    <w:rsid w:val="47AC2D0C"/>
    <w:rsid w:val="47B500BE"/>
    <w:rsid w:val="47BA4469"/>
    <w:rsid w:val="482E40F6"/>
    <w:rsid w:val="486023E9"/>
    <w:rsid w:val="486F033B"/>
    <w:rsid w:val="487042D1"/>
    <w:rsid w:val="489C4765"/>
    <w:rsid w:val="48AA47C1"/>
    <w:rsid w:val="491F2D2B"/>
    <w:rsid w:val="495F3ECF"/>
    <w:rsid w:val="49B73EEF"/>
    <w:rsid w:val="49C75755"/>
    <w:rsid w:val="49C77C2F"/>
    <w:rsid w:val="4A163D44"/>
    <w:rsid w:val="4A3434EB"/>
    <w:rsid w:val="4B1B6029"/>
    <w:rsid w:val="4BD5305C"/>
    <w:rsid w:val="4C3E7814"/>
    <w:rsid w:val="4C516B5E"/>
    <w:rsid w:val="4C6D2464"/>
    <w:rsid w:val="4C7D6870"/>
    <w:rsid w:val="4C83410A"/>
    <w:rsid w:val="4CB5663C"/>
    <w:rsid w:val="4CF26446"/>
    <w:rsid w:val="4D426230"/>
    <w:rsid w:val="4E570767"/>
    <w:rsid w:val="4E780FC9"/>
    <w:rsid w:val="4EBC158A"/>
    <w:rsid w:val="4ECC299F"/>
    <w:rsid w:val="4EDD57A6"/>
    <w:rsid w:val="4F0C32F9"/>
    <w:rsid w:val="4F237C7C"/>
    <w:rsid w:val="4F8E450F"/>
    <w:rsid w:val="4F8F5D30"/>
    <w:rsid w:val="4FAC6872"/>
    <w:rsid w:val="4FFE0471"/>
    <w:rsid w:val="50377CF4"/>
    <w:rsid w:val="507D1317"/>
    <w:rsid w:val="50E978D7"/>
    <w:rsid w:val="514B1157"/>
    <w:rsid w:val="5154051B"/>
    <w:rsid w:val="515B577D"/>
    <w:rsid w:val="51745185"/>
    <w:rsid w:val="51C77B8B"/>
    <w:rsid w:val="51E1316C"/>
    <w:rsid w:val="51F12C7B"/>
    <w:rsid w:val="52653955"/>
    <w:rsid w:val="5269544E"/>
    <w:rsid w:val="52833010"/>
    <w:rsid w:val="52936E2E"/>
    <w:rsid w:val="52AB695E"/>
    <w:rsid w:val="52BC6F8F"/>
    <w:rsid w:val="52DE30E0"/>
    <w:rsid w:val="530B40C4"/>
    <w:rsid w:val="53230162"/>
    <w:rsid w:val="53294168"/>
    <w:rsid w:val="5365038B"/>
    <w:rsid w:val="536E65AA"/>
    <w:rsid w:val="5387518E"/>
    <w:rsid w:val="53E83831"/>
    <w:rsid w:val="5460222C"/>
    <w:rsid w:val="5462469C"/>
    <w:rsid w:val="54702393"/>
    <w:rsid w:val="548A0D12"/>
    <w:rsid w:val="54921362"/>
    <w:rsid w:val="54993572"/>
    <w:rsid w:val="54B25DD5"/>
    <w:rsid w:val="54E02408"/>
    <w:rsid w:val="5529471C"/>
    <w:rsid w:val="558C5FF8"/>
    <w:rsid w:val="55B82197"/>
    <w:rsid w:val="55BA0B8B"/>
    <w:rsid w:val="55BF531D"/>
    <w:rsid w:val="55D948C6"/>
    <w:rsid w:val="55F36D31"/>
    <w:rsid w:val="564F5983"/>
    <w:rsid w:val="567E3C5D"/>
    <w:rsid w:val="56C74721"/>
    <w:rsid w:val="5705408E"/>
    <w:rsid w:val="570E0D3C"/>
    <w:rsid w:val="57703C55"/>
    <w:rsid w:val="58794481"/>
    <w:rsid w:val="58DC5DCF"/>
    <w:rsid w:val="58FB0973"/>
    <w:rsid w:val="59097B65"/>
    <w:rsid w:val="594270C5"/>
    <w:rsid w:val="59564200"/>
    <w:rsid w:val="59633966"/>
    <w:rsid w:val="59734062"/>
    <w:rsid w:val="598440EB"/>
    <w:rsid w:val="59894A08"/>
    <w:rsid w:val="598B5952"/>
    <w:rsid w:val="5A3A5FB1"/>
    <w:rsid w:val="5A494FD0"/>
    <w:rsid w:val="5A51111F"/>
    <w:rsid w:val="5AB86FE7"/>
    <w:rsid w:val="5ACC69B8"/>
    <w:rsid w:val="5AD1468A"/>
    <w:rsid w:val="5B603D4E"/>
    <w:rsid w:val="5B950FBB"/>
    <w:rsid w:val="5BA724E2"/>
    <w:rsid w:val="5BA7360C"/>
    <w:rsid w:val="5BDC7C03"/>
    <w:rsid w:val="5BEC1A5C"/>
    <w:rsid w:val="5C154F81"/>
    <w:rsid w:val="5C223694"/>
    <w:rsid w:val="5C7C353D"/>
    <w:rsid w:val="5C7E1674"/>
    <w:rsid w:val="5CEC5C32"/>
    <w:rsid w:val="5DAA7255"/>
    <w:rsid w:val="5DB3060C"/>
    <w:rsid w:val="5DC16C24"/>
    <w:rsid w:val="5E0C381D"/>
    <w:rsid w:val="5E154A86"/>
    <w:rsid w:val="5E9525E0"/>
    <w:rsid w:val="5E9B4B31"/>
    <w:rsid w:val="5E9E2E69"/>
    <w:rsid w:val="5ECD4ECE"/>
    <w:rsid w:val="5EE37E7A"/>
    <w:rsid w:val="5EEF56F8"/>
    <w:rsid w:val="5F1860D1"/>
    <w:rsid w:val="5FAE7F8D"/>
    <w:rsid w:val="5FED53DA"/>
    <w:rsid w:val="601B4748"/>
    <w:rsid w:val="603E01EE"/>
    <w:rsid w:val="60456CEC"/>
    <w:rsid w:val="605734DC"/>
    <w:rsid w:val="606D1653"/>
    <w:rsid w:val="60733F65"/>
    <w:rsid w:val="610558DA"/>
    <w:rsid w:val="610E3D64"/>
    <w:rsid w:val="612F1CBC"/>
    <w:rsid w:val="618B5521"/>
    <w:rsid w:val="61A5233B"/>
    <w:rsid w:val="61B24339"/>
    <w:rsid w:val="621E6DFD"/>
    <w:rsid w:val="62430667"/>
    <w:rsid w:val="628B2F2B"/>
    <w:rsid w:val="62BA16C4"/>
    <w:rsid w:val="62BE7882"/>
    <w:rsid w:val="62BF7C03"/>
    <w:rsid w:val="62DC5FD0"/>
    <w:rsid w:val="63065738"/>
    <w:rsid w:val="6395781D"/>
    <w:rsid w:val="63DB34FD"/>
    <w:rsid w:val="63E80812"/>
    <w:rsid w:val="641B042E"/>
    <w:rsid w:val="64B66CC2"/>
    <w:rsid w:val="64CB22C6"/>
    <w:rsid w:val="64CF6494"/>
    <w:rsid w:val="65494B26"/>
    <w:rsid w:val="657329F9"/>
    <w:rsid w:val="657B74D8"/>
    <w:rsid w:val="65834E5D"/>
    <w:rsid w:val="65C518D9"/>
    <w:rsid w:val="65C73DBA"/>
    <w:rsid w:val="661E7C9C"/>
    <w:rsid w:val="66463F12"/>
    <w:rsid w:val="665023D7"/>
    <w:rsid w:val="667142AB"/>
    <w:rsid w:val="667740C5"/>
    <w:rsid w:val="66F21A4E"/>
    <w:rsid w:val="66FB338F"/>
    <w:rsid w:val="66FF2A95"/>
    <w:rsid w:val="67603481"/>
    <w:rsid w:val="67704C26"/>
    <w:rsid w:val="67793ABE"/>
    <w:rsid w:val="67B41865"/>
    <w:rsid w:val="67EF4002"/>
    <w:rsid w:val="68035206"/>
    <w:rsid w:val="682A39D2"/>
    <w:rsid w:val="683B1D37"/>
    <w:rsid w:val="68891D80"/>
    <w:rsid w:val="68910B1C"/>
    <w:rsid w:val="689E16C2"/>
    <w:rsid w:val="68F14812"/>
    <w:rsid w:val="696D52F3"/>
    <w:rsid w:val="69944A6C"/>
    <w:rsid w:val="69997FE5"/>
    <w:rsid w:val="69A30644"/>
    <w:rsid w:val="69E12828"/>
    <w:rsid w:val="69E46626"/>
    <w:rsid w:val="6A332DE3"/>
    <w:rsid w:val="6A6469C9"/>
    <w:rsid w:val="6A913B8D"/>
    <w:rsid w:val="6AAB6963"/>
    <w:rsid w:val="6ABF043E"/>
    <w:rsid w:val="6AD403BB"/>
    <w:rsid w:val="6AD72A47"/>
    <w:rsid w:val="6B841D22"/>
    <w:rsid w:val="6B921723"/>
    <w:rsid w:val="6BAA7ECA"/>
    <w:rsid w:val="6BDB4A30"/>
    <w:rsid w:val="6C2F0285"/>
    <w:rsid w:val="6C3353DF"/>
    <w:rsid w:val="6C4A2DB9"/>
    <w:rsid w:val="6C512942"/>
    <w:rsid w:val="6CAC2B14"/>
    <w:rsid w:val="6CC23729"/>
    <w:rsid w:val="6CC653FC"/>
    <w:rsid w:val="6CE3136F"/>
    <w:rsid w:val="6CF633F6"/>
    <w:rsid w:val="6CFF1B24"/>
    <w:rsid w:val="6D067790"/>
    <w:rsid w:val="6D212910"/>
    <w:rsid w:val="6D535D69"/>
    <w:rsid w:val="6D6A05AB"/>
    <w:rsid w:val="6DA66CE9"/>
    <w:rsid w:val="6DDA6A2B"/>
    <w:rsid w:val="6DEE4D41"/>
    <w:rsid w:val="6E1F299B"/>
    <w:rsid w:val="6E216934"/>
    <w:rsid w:val="6E3736E3"/>
    <w:rsid w:val="6E6459E9"/>
    <w:rsid w:val="6E8444FC"/>
    <w:rsid w:val="6EB11A63"/>
    <w:rsid w:val="6ED0411A"/>
    <w:rsid w:val="6EDC1243"/>
    <w:rsid w:val="6EE65392"/>
    <w:rsid w:val="6F0E6D88"/>
    <w:rsid w:val="6F605DF0"/>
    <w:rsid w:val="6F903D1D"/>
    <w:rsid w:val="6FA34C3B"/>
    <w:rsid w:val="6FF17A75"/>
    <w:rsid w:val="70055AAE"/>
    <w:rsid w:val="70227F9C"/>
    <w:rsid w:val="705F3B5B"/>
    <w:rsid w:val="70777EA1"/>
    <w:rsid w:val="708A4858"/>
    <w:rsid w:val="70ED3A1C"/>
    <w:rsid w:val="713D353C"/>
    <w:rsid w:val="715D0235"/>
    <w:rsid w:val="71697A56"/>
    <w:rsid w:val="717C7E35"/>
    <w:rsid w:val="71BA2ED6"/>
    <w:rsid w:val="721C4268"/>
    <w:rsid w:val="722131E7"/>
    <w:rsid w:val="72524FB4"/>
    <w:rsid w:val="72976425"/>
    <w:rsid w:val="72D214F9"/>
    <w:rsid w:val="735B29C6"/>
    <w:rsid w:val="737F1C35"/>
    <w:rsid w:val="738A2474"/>
    <w:rsid w:val="739608B7"/>
    <w:rsid w:val="73A90ADD"/>
    <w:rsid w:val="73AC5E66"/>
    <w:rsid w:val="73D34415"/>
    <w:rsid w:val="73FB1F4A"/>
    <w:rsid w:val="74136125"/>
    <w:rsid w:val="742B5A2D"/>
    <w:rsid w:val="742B5C63"/>
    <w:rsid w:val="742B623D"/>
    <w:rsid w:val="74395AC6"/>
    <w:rsid w:val="743E74AE"/>
    <w:rsid w:val="744141F5"/>
    <w:rsid w:val="754D2952"/>
    <w:rsid w:val="756C37BD"/>
    <w:rsid w:val="75927D06"/>
    <w:rsid w:val="75D8124A"/>
    <w:rsid w:val="76152171"/>
    <w:rsid w:val="762D3D4B"/>
    <w:rsid w:val="76571437"/>
    <w:rsid w:val="76664A1E"/>
    <w:rsid w:val="76791036"/>
    <w:rsid w:val="76D31633"/>
    <w:rsid w:val="77067FEF"/>
    <w:rsid w:val="77857D3A"/>
    <w:rsid w:val="77AA4DB9"/>
    <w:rsid w:val="77AF27DB"/>
    <w:rsid w:val="77D72BA1"/>
    <w:rsid w:val="77DB0520"/>
    <w:rsid w:val="78285C13"/>
    <w:rsid w:val="782C3C84"/>
    <w:rsid w:val="7854324C"/>
    <w:rsid w:val="78FD19D3"/>
    <w:rsid w:val="7A112426"/>
    <w:rsid w:val="7A5366B7"/>
    <w:rsid w:val="7A68549F"/>
    <w:rsid w:val="7A8D3DF2"/>
    <w:rsid w:val="7ACA50A8"/>
    <w:rsid w:val="7AE30F42"/>
    <w:rsid w:val="7AE90FC7"/>
    <w:rsid w:val="7B004646"/>
    <w:rsid w:val="7B835A88"/>
    <w:rsid w:val="7B870A41"/>
    <w:rsid w:val="7BD62E54"/>
    <w:rsid w:val="7C1D0761"/>
    <w:rsid w:val="7C4A4CA7"/>
    <w:rsid w:val="7C5A789A"/>
    <w:rsid w:val="7CB54907"/>
    <w:rsid w:val="7CDB3DCC"/>
    <w:rsid w:val="7D8B50AC"/>
    <w:rsid w:val="7DEE39C9"/>
    <w:rsid w:val="7DF06D64"/>
    <w:rsid w:val="7DF32D3C"/>
    <w:rsid w:val="7E007F0C"/>
    <w:rsid w:val="7E3B0F17"/>
    <w:rsid w:val="7E490487"/>
    <w:rsid w:val="7E815B40"/>
    <w:rsid w:val="7E8A4A5D"/>
    <w:rsid w:val="7EA9587E"/>
    <w:rsid w:val="7EBC360D"/>
    <w:rsid w:val="7F01223F"/>
    <w:rsid w:val="7F1A2DB5"/>
    <w:rsid w:val="7F261C27"/>
    <w:rsid w:val="7F2E7B81"/>
    <w:rsid w:val="7F4113A6"/>
    <w:rsid w:val="7FF662F3"/>
    <w:rsid w:val="7FFC5A7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9"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72"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22"/>
    <w:qFormat/>
    <w:uiPriority w:val="1"/>
    <w:pPr>
      <w:autoSpaceDE w:val="0"/>
      <w:autoSpaceDN w:val="0"/>
      <w:adjustRightInd w:val="0"/>
      <w:spacing w:before="17"/>
      <w:ind w:left="1144"/>
      <w:jc w:val="left"/>
      <w:outlineLvl w:val="0"/>
    </w:pPr>
    <w:rPr>
      <w:rFonts w:ascii="黑体" w:hAnsi="Times New Roman" w:eastAsia="黑体"/>
      <w:b/>
      <w:bCs/>
      <w:kern w:val="0"/>
      <w:sz w:val="36"/>
      <w:szCs w:val="36"/>
    </w:rPr>
  </w:style>
  <w:style w:type="paragraph" w:styleId="3">
    <w:name w:val="heading 2"/>
    <w:basedOn w:val="1"/>
    <w:next w:val="1"/>
    <w:link w:val="23"/>
    <w:qFormat/>
    <w:uiPriority w:val="9"/>
    <w:pPr>
      <w:keepNext/>
      <w:keepLines/>
      <w:spacing w:before="260" w:after="260" w:line="416" w:lineRule="auto"/>
      <w:outlineLvl w:val="1"/>
    </w:pPr>
    <w:rPr>
      <w:rFonts w:ascii="Cambria" w:hAnsi="Cambria"/>
      <w:b/>
      <w:bCs/>
      <w:kern w:val="0"/>
      <w:sz w:val="32"/>
      <w:szCs w:val="32"/>
    </w:rPr>
  </w:style>
  <w:style w:type="paragraph" w:styleId="4">
    <w:name w:val="heading 3"/>
    <w:basedOn w:val="1"/>
    <w:next w:val="1"/>
    <w:link w:val="24"/>
    <w:qFormat/>
    <w:uiPriority w:val="1"/>
    <w:pPr>
      <w:autoSpaceDE w:val="0"/>
      <w:autoSpaceDN w:val="0"/>
      <w:adjustRightInd w:val="0"/>
      <w:spacing w:before="34"/>
      <w:ind w:left="120"/>
      <w:jc w:val="left"/>
      <w:outlineLvl w:val="2"/>
    </w:pPr>
    <w:rPr>
      <w:rFonts w:ascii="宋体" w:hAnsi="Times New Roman"/>
      <w:b/>
      <w:bCs/>
      <w:kern w:val="0"/>
      <w:sz w:val="20"/>
      <w:szCs w:val="21"/>
    </w:rPr>
  </w:style>
  <w:style w:type="character" w:default="1" w:styleId="17">
    <w:name w:val="Default Paragraph Font"/>
    <w:unhideWhenUsed/>
    <w:qFormat/>
    <w:uiPriority w:val="1"/>
  </w:style>
  <w:style w:type="table" w:default="1" w:styleId="15">
    <w:name w:val="Normal Table"/>
    <w:unhideWhenUsed/>
    <w:qFormat/>
    <w:uiPriority w:val="99"/>
    <w:tblPr>
      <w:tblCellMar>
        <w:top w:w="0" w:type="dxa"/>
        <w:left w:w="108" w:type="dxa"/>
        <w:bottom w:w="0" w:type="dxa"/>
        <w:right w:w="108" w:type="dxa"/>
      </w:tblCellMar>
    </w:tblPr>
  </w:style>
  <w:style w:type="paragraph" w:styleId="5">
    <w:name w:val="annotation text"/>
    <w:basedOn w:val="1"/>
    <w:link w:val="25"/>
    <w:unhideWhenUsed/>
    <w:qFormat/>
    <w:uiPriority w:val="99"/>
    <w:pPr>
      <w:jc w:val="left"/>
    </w:pPr>
  </w:style>
  <w:style w:type="paragraph" w:styleId="6">
    <w:name w:val="Body Text"/>
    <w:basedOn w:val="1"/>
    <w:link w:val="26"/>
    <w:qFormat/>
    <w:uiPriority w:val="1"/>
    <w:pPr>
      <w:autoSpaceDE w:val="0"/>
      <w:autoSpaceDN w:val="0"/>
      <w:adjustRightInd w:val="0"/>
      <w:spacing w:before="162"/>
      <w:ind w:left="120"/>
      <w:jc w:val="left"/>
    </w:pPr>
    <w:rPr>
      <w:rFonts w:ascii="宋体" w:hAnsi="Times New Roman"/>
      <w:kern w:val="0"/>
      <w:sz w:val="20"/>
      <w:szCs w:val="21"/>
    </w:rPr>
  </w:style>
  <w:style w:type="paragraph" w:styleId="7">
    <w:name w:val="Date"/>
    <w:basedOn w:val="1"/>
    <w:next w:val="1"/>
    <w:link w:val="27"/>
    <w:unhideWhenUsed/>
    <w:qFormat/>
    <w:uiPriority w:val="99"/>
    <w:pPr>
      <w:ind w:left="100" w:leftChars="2500"/>
    </w:pPr>
  </w:style>
  <w:style w:type="paragraph" w:styleId="8">
    <w:name w:val="Balloon Text"/>
    <w:basedOn w:val="1"/>
    <w:link w:val="28"/>
    <w:unhideWhenUsed/>
    <w:qFormat/>
    <w:uiPriority w:val="99"/>
    <w:rPr>
      <w:kern w:val="0"/>
      <w:sz w:val="18"/>
      <w:szCs w:val="18"/>
    </w:rPr>
  </w:style>
  <w:style w:type="paragraph" w:styleId="9">
    <w:name w:val="footer"/>
    <w:basedOn w:val="1"/>
    <w:link w:val="29"/>
    <w:unhideWhenUsed/>
    <w:qFormat/>
    <w:uiPriority w:val="99"/>
    <w:pPr>
      <w:tabs>
        <w:tab w:val="center" w:pos="4153"/>
        <w:tab w:val="right" w:pos="8306"/>
      </w:tabs>
      <w:snapToGrid w:val="0"/>
      <w:jc w:val="left"/>
    </w:pPr>
    <w:rPr>
      <w:kern w:val="0"/>
      <w:sz w:val="18"/>
      <w:szCs w:val="18"/>
    </w:rPr>
  </w:style>
  <w:style w:type="paragraph" w:styleId="10">
    <w:name w:val="header"/>
    <w:basedOn w:val="1"/>
    <w:link w:val="30"/>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1">
    <w:name w:val="footnote text"/>
    <w:basedOn w:val="1"/>
    <w:link w:val="31"/>
    <w:unhideWhenUsed/>
    <w:qFormat/>
    <w:uiPriority w:val="99"/>
    <w:pPr>
      <w:snapToGrid w:val="0"/>
      <w:jc w:val="left"/>
    </w:pPr>
    <w:rPr>
      <w:sz w:val="18"/>
      <w:szCs w:val="18"/>
    </w:rPr>
  </w:style>
  <w:style w:type="paragraph" w:styleId="12">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4">
    <w:name w:val="annotation subject"/>
    <w:basedOn w:val="5"/>
    <w:next w:val="5"/>
    <w:link w:val="32"/>
    <w:unhideWhenUsed/>
    <w:qFormat/>
    <w:uiPriority w:val="99"/>
    <w:rPr>
      <w:b/>
      <w:bCs/>
    </w:rPr>
  </w:style>
  <w:style w:type="table" w:styleId="16">
    <w:name w:val="Table Grid"/>
    <w:basedOn w:val="1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22"/>
    <w:rPr>
      <w:b/>
      <w:bCs/>
    </w:rPr>
  </w:style>
  <w:style w:type="character" w:styleId="19">
    <w:name w:val="Hyperlink"/>
    <w:unhideWhenUsed/>
    <w:qFormat/>
    <w:uiPriority w:val="99"/>
    <w:rPr>
      <w:color w:val="0000FF"/>
      <w:u w:val="single"/>
    </w:rPr>
  </w:style>
  <w:style w:type="character" w:styleId="20">
    <w:name w:val="annotation reference"/>
    <w:unhideWhenUsed/>
    <w:qFormat/>
    <w:uiPriority w:val="99"/>
    <w:rPr>
      <w:sz w:val="21"/>
      <w:szCs w:val="21"/>
    </w:rPr>
  </w:style>
  <w:style w:type="character" w:styleId="21">
    <w:name w:val="footnote reference"/>
    <w:unhideWhenUsed/>
    <w:qFormat/>
    <w:uiPriority w:val="99"/>
    <w:rPr>
      <w:vertAlign w:val="superscript"/>
    </w:rPr>
  </w:style>
  <w:style w:type="character" w:customStyle="1" w:styleId="22">
    <w:name w:val="标题 1 Char"/>
    <w:link w:val="2"/>
    <w:qFormat/>
    <w:uiPriority w:val="1"/>
    <w:rPr>
      <w:rFonts w:ascii="黑体" w:hAnsi="Times New Roman" w:eastAsia="黑体" w:cs="黑体"/>
      <w:b/>
      <w:bCs/>
      <w:kern w:val="0"/>
      <w:sz w:val="36"/>
      <w:szCs w:val="36"/>
    </w:rPr>
  </w:style>
  <w:style w:type="character" w:customStyle="1" w:styleId="23">
    <w:name w:val="标题 2 Char"/>
    <w:link w:val="3"/>
    <w:qFormat/>
    <w:uiPriority w:val="9"/>
    <w:rPr>
      <w:rFonts w:ascii="Cambria" w:hAnsi="Cambria" w:eastAsia="宋体" w:cs="Times New Roman"/>
      <w:b/>
      <w:bCs/>
      <w:sz w:val="32"/>
      <w:szCs w:val="32"/>
    </w:rPr>
  </w:style>
  <w:style w:type="character" w:customStyle="1" w:styleId="24">
    <w:name w:val="标题 3 Char"/>
    <w:link w:val="4"/>
    <w:qFormat/>
    <w:uiPriority w:val="1"/>
    <w:rPr>
      <w:rFonts w:ascii="宋体" w:hAnsi="Times New Roman" w:eastAsia="宋体" w:cs="宋体"/>
      <w:b/>
      <w:bCs/>
      <w:kern w:val="0"/>
      <w:szCs w:val="21"/>
    </w:rPr>
  </w:style>
  <w:style w:type="character" w:customStyle="1" w:styleId="25">
    <w:name w:val="批注文字 Char"/>
    <w:link w:val="5"/>
    <w:qFormat/>
    <w:uiPriority w:val="99"/>
    <w:rPr>
      <w:kern w:val="2"/>
      <w:sz w:val="21"/>
      <w:szCs w:val="22"/>
    </w:rPr>
  </w:style>
  <w:style w:type="character" w:customStyle="1" w:styleId="26">
    <w:name w:val="正文文本 Char"/>
    <w:link w:val="6"/>
    <w:qFormat/>
    <w:uiPriority w:val="1"/>
    <w:rPr>
      <w:rFonts w:ascii="宋体" w:hAnsi="Times New Roman" w:eastAsia="宋体" w:cs="宋体"/>
      <w:kern w:val="0"/>
      <w:szCs w:val="21"/>
    </w:rPr>
  </w:style>
  <w:style w:type="character" w:customStyle="1" w:styleId="27">
    <w:name w:val="日期 Char"/>
    <w:link w:val="7"/>
    <w:semiHidden/>
    <w:qFormat/>
    <w:uiPriority w:val="99"/>
  </w:style>
  <w:style w:type="character" w:customStyle="1" w:styleId="28">
    <w:name w:val="批注框文本 Char"/>
    <w:link w:val="8"/>
    <w:semiHidden/>
    <w:qFormat/>
    <w:uiPriority w:val="99"/>
    <w:rPr>
      <w:sz w:val="18"/>
      <w:szCs w:val="18"/>
    </w:rPr>
  </w:style>
  <w:style w:type="character" w:customStyle="1" w:styleId="29">
    <w:name w:val="页脚 Char"/>
    <w:link w:val="9"/>
    <w:qFormat/>
    <w:uiPriority w:val="99"/>
    <w:rPr>
      <w:sz w:val="18"/>
      <w:szCs w:val="18"/>
    </w:rPr>
  </w:style>
  <w:style w:type="character" w:customStyle="1" w:styleId="30">
    <w:name w:val="页眉 Char"/>
    <w:link w:val="10"/>
    <w:qFormat/>
    <w:uiPriority w:val="99"/>
    <w:rPr>
      <w:sz w:val="18"/>
      <w:szCs w:val="18"/>
    </w:rPr>
  </w:style>
  <w:style w:type="character" w:customStyle="1" w:styleId="31">
    <w:name w:val="脚注文本 Char1"/>
    <w:link w:val="11"/>
    <w:semiHidden/>
    <w:qFormat/>
    <w:uiPriority w:val="99"/>
    <w:rPr>
      <w:kern w:val="2"/>
      <w:sz w:val="18"/>
      <w:szCs w:val="18"/>
    </w:rPr>
  </w:style>
  <w:style w:type="character" w:customStyle="1" w:styleId="32">
    <w:name w:val="批注主题 Char"/>
    <w:link w:val="14"/>
    <w:semiHidden/>
    <w:qFormat/>
    <w:uiPriority w:val="99"/>
    <w:rPr>
      <w:b/>
      <w:bCs/>
      <w:kern w:val="2"/>
      <w:sz w:val="21"/>
      <w:szCs w:val="22"/>
    </w:rPr>
  </w:style>
  <w:style w:type="paragraph" w:styleId="33">
    <w:name w:val="List Paragraph"/>
    <w:basedOn w:val="1"/>
    <w:qFormat/>
    <w:uiPriority w:val="72"/>
    <w:pPr>
      <w:ind w:firstLine="420" w:firstLineChars="200"/>
    </w:pPr>
  </w:style>
  <w:style w:type="paragraph" w:customStyle="1" w:styleId="34">
    <w:name w:val="Table Paragraph"/>
    <w:basedOn w:val="1"/>
    <w:qFormat/>
    <w:uiPriority w:val="1"/>
    <w:pPr>
      <w:autoSpaceDE w:val="0"/>
      <w:autoSpaceDN w:val="0"/>
      <w:adjustRightInd w:val="0"/>
      <w:jc w:val="left"/>
    </w:pPr>
    <w:rPr>
      <w:rFonts w:ascii="Times New Roman" w:hAnsi="Times New Roman" w:cs="Times New Roman"/>
      <w:kern w:val="0"/>
      <w:sz w:val="24"/>
      <w:szCs w:val="24"/>
    </w:rPr>
  </w:style>
  <w:style w:type="paragraph" w:customStyle="1" w:styleId="35">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36">
    <w:name w:val="_Style 34"/>
    <w:semiHidden/>
    <w:qFormat/>
    <w:uiPriority w:val="99"/>
    <w:rPr>
      <w:rFonts w:ascii="Times New Roman" w:hAnsi="Times New Roman" w:eastAsia="宋体" w:cs="Times New Roman"/>
      <w:kern w:val="2"/>
      <w:sz w:val="21"/>
      <w:szCs w:val="22"/>
      <w:lang w:val="en-US" w:eastAsia="zh-CN" w:bidi="ar-SA"/>
    </w:rPr>
  </w:style>
  <w:style w:type="character" w:customStyle="1" w:styleId="37">
    <w:name w:val="脚注文本 Char"/>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2.xml"/><Relationship Id="rId10" Type="http://schemas.openxmlformats.org/officeDocument/2006/relationships/header" Target="header6.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36</Pages>
  <Words>34860</Words>
  <Characters>36054</Characters>
  <Lines>227</Lines>
  <Paragraphs>64</Paragraphs>
  <TotalTime>4</TotalTime>
  <ScaleCrop>false</ScaleCrop>
  <LinksUpToDate>false</LinksUpToDate>
  <CharactersWithSpaces>36298</CharactersWithSpaces>
  <Application>WPS Office_11.8.2.11734_F1E327BC-269C-435d-A152-05C5408002CA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2022-08-03T02:08:00Z</dcterms:created>
  <dc:creator>JSYH</dc:creator>
  <cp:lastModifiedBy>lhy</cp:lastModifiedBy>
  <cp:lastPrinted>2022-09-01T07:58:00Z</cp:lastPrinted>
  <dcterms:modified xsi:type="dcterms:W3CDTF">2025-10-09T07:36:13Z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2052-11.8.2.11734</vt:lpwstr>
  </property>
  <property fmtid="{D5CDD505-2E9C-101B-9397-08002B2CF9AE}" pid="3" name="ICV">
    <vt:lpwstr>25CDF2D34F3B43B5BFBA770E34A66633</vt:lpwstr>
  </property>
</Properties>
</file>