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rPr>
          <w:rFonts w:ascii="楷体" w:hAnsi="楷体" w:eastAsia="楷体"/>
        </w:rPr>
      </w:pPr>
      <w:r>
        <w:rPr>
          <w:rFonts w:hint="eastAsia" w:ascii="楷体" w:hAnsi="楷体" w:eastAsia="楷体"/>
        </w:rPr>
        <mc:AlternateContent>
          <mc:Choice Requires="wps">
            <w:drawing>
              <wp:anchor distT="45720" distB="45720" distL="114300" distR="114300" simplePos="0" relativeHeight="251659264" behindDoc="0" locked="0" layoutInCell="1" allowOverlap="1">
                <wp:simplePos x="0" y="0"/>
                <wp:positionH relativeFrom="margin">
                  <wp:posOffset>-302260</wp:posOffset>
                </wp:positionH>
                <wp:positionV relativeFrom="paragraph">
                  <wp:posOffset>-23495</wp:posOffset>
                </wp:positionV>
                <wp:extent cx="6021070" cy="2478405"/>
                <wp:effectExtent l="4445" t="4445" r="13335" b="12700"/>
                <wp:wrapSquare wrapText="bothSides"/>
                <wp:docPr id="1" name="文本框 2"/>
                <wp:cNvGraphicFramePr/>
                <a:graphic xmlns:a="http://schemas.openxmlformats.org/drawingml/2006/main">
                  <a:graphicData uri="http://schemas.microsoft.com/office/word/2010/wordprocessingShape">
                    <wps:wsp>
                      <wps:cNvSpPr txBox="1"/>
                      <wps:spPr>
                        <a:xfrm>
                          <a:off x="0" y="0"/>
                          <a:ext cx="6021070" cy="24784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楷体" w:hAnsi="楷体" w:eastAsia="楷体"/>
                                <w:b/>
                                <w:bCs/>
                                <w:sz w:val="28"/>
                                <w:szCs w:val="32"/>
                              </w:rPr>
                            </w:pPr>
                            <w:r>
                              <w:rPr>
                                <w:rFonts w:ascii="楷体" w:hAnsi="楷体" w:eastAsia="楷体"/>
                                <w:b/>
                                <w:bCs/>
                                <w:sz w:val="28"/>
                                <w:szCs w:val="32"/>
                              </w:rPr>
                              <w:t>特别</w:t>
                            </w:r>
                            <w:r>
                              <w:rPr>
                                <w:rFonts w:hint="eastAsia" w:ascii="楷体" w:hAnsi="楷体" w:eastAsia="楷体"/>
                                <w:b/>
                                <w:bCs/>
                                <w:sz w:val="28"/>
                                <w:szCs w:val="32"/>
                              </w:rPr>
                              <w:t>提示</w:t>
                            </w:r>
                          </w:p>
                          <w:p>
                            <w:pPr>
                              <w:numPr>
                                <w:ilvl w:val="0"/>
                                <w:numId w:val="1"/>
                              </w:numPr>
                              <w:ind w:right="115" w:rightChars="55"/>
                              <w:rPr>
                                <w:rFonts w:ascii="楷体" w:hAnsi="楷体" w:eastAsia="楷体" w:cs="宋体"/>
                                <w:b/>
                                <w:spacing w:val="-2"/>
                                <w:szCs w:val="21"/>
                                <w:u w:val="single"/>
                              </w:rPr>
                            </w:pPr>
                            <w:r>
                              <w:rPr>
                                <w:rFonts w:hint="eastAsia" w:ascii="楷体" w:hAnsi="楷体" w:eastAsia="楷体" w:cs="宋体"/>
                                <w:b/>
                                <w:spacing w:val="-2"/>
                                <w:szCs w:val="21"/>
                                <w:u w:val="single"/>
                              </w:rPr>
                              <w:t>本产品为周期持有型理财产品</w:t>
                            </w:r>
                            <w:r>
                              <w:rPr>
                                <w:rFonts w:ascii="楷体" w:hAnsi="楷体" w:eastAsia="楷体" w:cs="宋体"/>
                                <w:b/>
                                <w:spacing w:val="-2"/>
                                <w:szCs w:val="21"/>
                                <w:u w:val="single"/>
                              </w:rPr>
                              <w:t>，</w:t>
                            </w:r>
                            <w:r>
                              <w:rPr>
                                <w:rFonts w:hint="eastAsia" w:ascii="楷体" w:hAnsi="楷体" w:eastAsia="楷体" w:cs="宋体"/>
                                <w:b/>
                                <w:spacing w:val="-2"/>
                                <w:szCs w:val="21"/>
                                <w:u w:val="single"/>
                              </w:rPr>
                              <w:t>客户持有</w:t>
                            </w:r>
                            <w:r>
                              <w:rPr>
                                <w:rFonts w:ascii="楷体" w:hAnsi="楷体" w:eastAsia="楷体" w:cs="宋体"/>
                                <w:b/>
                                <w:spacing w:val="-2"/>
                                <w:szCs w:val="21"/>
                                <w:u w:val="single"/>
                              </w:rPr>
                              <w:t>份额须按约定运作满足够天数后由系统发起全额自动赎回，在未按约定运作满足够天数前客户无权提前赎回份额。</w:t>
                            </w:r>
                          </w:p>
                          <w:p>
                            <w:pPr>
                              <w:numPr>
                                <w:ilvl w:val="0"/>
                                <w:numId w:val="1"/>
                              </w:numPr>
                              <w:ind w:right="115" w:rightChars="55"/>
                              <w:rPr>
                                <w:rFonts w:ascii="楷体" w:hAnsi="楷体" w:eastAsia="楷体" w:cs="宋体"/>
                                <w:b/>
                                <w:spacing w:val="-2"/>
                                <w:szCs w:val="21"/>
                                <w:u w:val="single"/>
                              </w:rPr>
                            </w:pPr>
                            <w:r>
                              <w:rPr>
                                <w:rFonts w:hint="eastAsia" w:ascii="楷体" w:hAnsi="楷体" w:eastAsia="楷体" w:cs="宋体"/>
                                <w:b/>
                                <w:spacing w:val="-2"/>
                                <w:szCs w:val="21"/>
                                <w:u w:val="single"/>
                              </w:rPr>
                              <w:t>本产品各份额设置有不同业绩比较基准，各</w:t>
                            </w:r>
                            <w:r>
                              <w:rPr>
                                <w:rFonts w:hint="eastAsia" w:ascii="楷体" w:hAnsi="楷体" w:eastAsia="楷体" w:cs="宋体"/>
                                <w:b/>
                                <w:spacing w:val="-2"/>
                                <w:szCs w:val="21"/>
                                <w:u w:val="single"/>
                                <w:lang w:val="en-US" w:eastAsia="zh-CN"/>
                              </w:rPr>
                              <w:t>份额</w:t>
                            </w:r>
                            <w:r>
                              <w:rPr>
                                <w:rFonts w:hint="eastAsia" w:ascii="楷体" w:hAnsi="楷体" w:eastAsia="楷体" w:cs="宋体"/>
                                <w:b/>
                                <w:spacing w:val="-2"/>
                                <w:szCs w:val="21"/>
                                <w:u w:val="single"/>
                              </w:rPr>
                              <w:t>按照设置的销售对象和销售起点进行销售，客户根据设置的销售条件自主选择购买。</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u w:val="single"/>
                              </w:rPr>
                              <w:t>业绩比较基准为管理人对本产品所设定的投资目标，不代表理财产品未来表现，不等于理财产品实际收益，不作为产品收益的业绩保证，投资者的实际收益由产品净值表现决定。</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u w:val="single"/>
                              </w:rPr>
                              <w:t>投资者持仓份额的产品净值含有未收取的超额业绩报酬</w:t>
                            </w:r>
                            <w:r>
                              <w:rPr>
                                <w:rFonts w:hint="eastAsia" w:ascii="楷体" w:hAnsi="楷体" w:eastAsia="楷体" w:cs="宋体"/>
                                <w:b/>
                                <w:spacing w:val="-2"/>
                                <w:szCs w:val="21"/>
                                <w:u w:val="single"/>
                                <w:lang w:eastAsia="zh-CN"/>
                              </w:rPr>
                              <w:t>（</w:t>
                            </w:r>
                            <w:r>
                              <w:rPr>
                                <w:rFonts w:hint="eastAsia" w:ascii="楷体" w:hAnsi="楷体" w:eastAsia="楷体" w:cs="宋体"/>
                                <w:b/>
                                <w:spacing w:val="-2"/>
                                <w:szCs w:val="21"/>
                                <w:u w:val="single"/>
                                <w:lang w:val="en-US" w:eastAsia="zh-CN"/>
                              </w:rPr>
                              <w:t>如有</w:t>
                            </w:r>
                            <w:r>
                              <w:rPr>
                                <w:rFonts w:hint="eastAsia" w:ascii="楷体" w:hAnsi="楷体" w:eastAsia="楷体" w:cs="宋体"/>
                                <w:b/>
                                <w:spacing w:val="-2"/>
                                <w:szCs w:val="21"/>
                                <w:u w:val="single"/>
                                <w:lang w:eastAsia="zh-CN"/>
                              </w:rPr>
                              <w:t>）</w:t>
                            </w:r>
                            <w:r>
                              <w:rPr>
                                <w:rFonts w:hint="eastAsia" w:ascii="楷体" w:hAnsi="楷体" w:eastAsia="楷体" w:cs="宋体"/>
                                <w:b/>
                                <w:spacing w:val="-2"/>
                                <w:szCs w:val="21"/>
                                <w:u w:val="single"/>
                              </w:rPr>
                              <w:t>，自动赎回兑付金额以实际入账金额为准。</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highlight w:val="none"/>
                                <w:u w:val="single"/>
                              </w:rPr>
                              <w:t>客户服务热线</w:t>
                            </w:r>
                            <w:r>
                              <w:rPr>
                                <w:rFonts w:hint="eastAsia" w:ascii="楷体" w:hAnsi="楷体" w:eastAsia="楷体" w:cs="宋体"/>
                                <w:b/>
                                <w:spacing w:val="-2"/>
                                <w:szCs w:val="21"/>
                                <w:u w:val="single"/>
                              </w:rPr>
                              <w:t>：95319-</w:t>
                            </w:r>
                            <w:r>
                              <w:rPr>
                                <w:rFonts w:hint="eastAsia" w:ascii="楷体" w:hAnsi="楷体" w:eastAsia="楷体" w:cs="宋体"/>
                                <w:b/>
                                <w:spacing w:val="-2"/>
                                <w:szCs w:val="21"/>
                                <w:u w:val="single"/>
                                <w:lang w:val="en-US" w:eastAsia="zh-CN"/>
                              </w:rPr>
                              <w:t>8-2</w:t>
                            </w:r>
                            <w:r>
                              <w:rPr>
                                <w:rFonts w:hint="eastAsia" w:ascii="楷体" w:hAnsi="楷体" w:eastAsia="楷体" w:cs="宋体"/>
                                <w:b/>
                                <w:spacing w:val="-2"/>
                                <w:szCs w:val="21"/>
                                <w:u w:val="single"/>
                              </w:rPr>
                              <w:t>。</w:t>
                            </w:r>
                          </w:p>
                          <w:p>
                            <w:pPr>
                              <w:ind w:left="360" w:right="115" w:rightChars="55"/>
                              <w:rPr>
                                <w:rFonts w:hint="eastAsia" w:ascii="楷体" w:hAnsi="楷体" w:eastAsia="楷体"/>
                              </w:rPr>
                            </w:pPr>
                            <w:r>
                              <w:rPr>
                                <w:rFonts w:hint="eastAsia" w:ascii="楷体" w:hAnsi="楷体" w:eastAsia="楷体"/>
                              </w:rPr>
                              <w:t>以上为本产品的特别提示，详细内容请仔细阅读理财产品合同。</w:t>
                            </w:r>
                          </w:p>
                        </w:txbxContent>
                      </wps:txbx>
                      <wps:bodyPr vert="horz" wrap="square" anchor="t" anchorCtr="0" upright="1">
                        <a:spAutoFit/>
                      </wps:bodyPr>
                    </wps:wsp>
                  </a:graphicData>
                </a:graphic>
              </wp:anchor>
            </w:drawing>
          </mc:Choice>
          <mc:Fallback>
            <w:pict>
              <v:shape id="文本框 2" o:spid="_x0000_s1026" o:spt="202" type="#_x0000_t202" style="position:absolute;left:0pt;margin-left:-23.8pt;margin-top:-1.85pt;height:195.15pt;width:474.1pt;mso-position-horizontal-relative:margin;mso-wrap-distance-bottom:3.6pt;mso-wrap-distance-left:9pt;mso-wrap-distance-right:9pt;mso-wrap-distance-top:3.6pt;z-index:251659264;mso-width-relative:page;mso-height-relative:page;" fillcolor="#FFFFFF" filled="t" stroked="t" coordsize="21600,21600" o:gfxdata="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vcg3bZAAAACgEAAA8AAAAAAAAAAQAgAAAAIgAAAGRycy9kb3ducmV2&#10;LnhtbFBLAQIUABQAAAAIAIdO4kDredsjNAIAAIQEAAAOAAAAAAAAAAEAIAAAACgBAABkcnMvZTJv&#10;RG9jLnhtbFBLBQYAAAAABgAGAFkBAADOBQAAAAA=&#10;">
                <v:fill on="t" focussize="0,0"/>
                <v:stroke color="#000000" joinstyle="miter"/>
                <v:imagedata o:title=""/>
                <o:lock v:ext="edit" aspectratio="f"/>
                <v:textbox style="mso-fit-shape-to-text:t;">
                  <w:txbxContent>
                    <w:p>
                      <w:pPr>
                        <w:jc w:val="center"/>
                        <w:rPr>
                          <w:rFonts w:ascii="楷体" w:hAnsi="楷体" w:eastAsia="楷体"/>
                          <w:b/>
                          <w:bCs/>
                          <w:sz w:val="28"/>
                          <w:szCs w:val="32"/>
                        </w:rPr>
                      </w:pPr>
                      <w:r>
                        <w:rPr>
                          <w:rFonts w:ascii="楷体" w:hAnsi="楷体" w:eastAsia="楷体"/>
                          <w:b/>
                          <w:bCs/>
                          <w:sz w:val="28"/>
                          <w:szCs w:val="32"/>
                        </w:rPr>
                        <w:t>特别</w:t>
                      </w:r>
                      <w:r>
                        <w:rPr>
                          <w:rFonts w:hint="eastAsia" w:ascii="楷体" w:hAnsi="楷体" w:eastAsia="楷体"/>
                          <w:b/>
                          <w:bCs/>
                          <w:sz w:val="28"/>
                          <w:szCs w:val="32"/>
                        </w:rPr>
                        <w:t>提示</w:t>
                      </w:r>
                    </w:p>
                    <w:p>
                      <w:pPr>
                        <w:numPr>
                          <w:ilvl w:val="0"/>
                          <w:numId w:val="1"/>
                        </w:numPr>
                        <w:ind w:right="115" w:rightChars="55"/>
                        <w:rPr>
                          <w:rFonts w:ascii="楷体" w:hAnsi="楷体" w:eastAsia="楷体" w:cs="宋体"/>
                          <w:b/>
                          <w:spacing w:val="-2"/>
                          <w:szCs w:val="21"/>
                          <w:u w:val="single"/>
                        </w:rPr>
                      </w:pPr>
                      <w:r>
                        <w:rPr>
                          <w:rFonts w:hint="eastAsia" w:ascii="楷体" w:hAnsi="楷体" w:eastAsia="楷体" w:cs="宋体"/>
                          <w:b/>
                          <w:spacing w:val="-2"/>
                          <w:szCs w:val="21"/>
                          <w:u w:val="single"/>
                        </w:rPr>
                        <w:t>本产品为周期持有型理财产品</w:t>
                      </w:r>
                      <w:r>
                        <w:rPr>
                          <w:rFonts w:ascii="楷体" w:hAnsi="楷体" w:eastAsia="楷体" w:cs="宋体"/>
                          <w:b/>
                          <w:spacing w:val="-2"/>
                          <w:szCs w:val="21"/>
                          <w:u w:val="single"/>
                        </w:rPr>
                        <w:t>，</w:t>
                      </w:r>
                      <w:r>
                        <w:rPr>
                          <w:rFonts w:hint="eastAsia" w:ascii="楷体" w:hAnsi="楷体" w:eastAsia="楷体" w:cs="宋体"/>
                          <w:b/>
                          <w:spacing w:val="-2"/>
                          <w:szCs w:val="21"/>
                          <w:u w:val="single"/>
                        </w:rPr>
                        <w:t>客户持有</w:t>
                      </w:r>
                      <w:r>
                        <w:rPr>
                          <w:rFonts w:ascii="楷体" w:hAnsi="楷体" w:eastAsia="楷体" w:cs="宋体"/>
                          <w:b/>
                          <w:spacing w:val="-2"/>
                          <w:szCs w:val="21"/>
                          <w:u w:val="single"/>
                        </w:rPr>
                        <w:t>份额须按约定运作满足够天数后由系统发起全额自动赎回，在未按约定运作满足够天数前客户无权提前赎回份额。</w:t>
                      </w:r>
                    </w:p>
                    <w:p>
                      <w:pPr>
                        <w:numPr>
                          <w:ilvl w:val="0"/>
                          <w:numId w:val="1"/>
                        </w:numPr>
                        <w:ind w:right="115" w:rightChars="55"/>
                        <w:rPr>
                          <w:rFonts w:ascii="楷体" w:hAnsi="楷体" w:eastAsia="楷体" w:cs="宋体"/>
                          <w:b/>
                          <w:spacing w:val="-2"/>
                          <w:szCs w:val="21"/>
                          <w:u w:val="single"/>
                        </w:rPr>
                      </w:pPr>
                      <w:r>
                        <w:rPr>
                          <w:rFonts w:hint="eastAsia" w:ascii="楷体" w:hAnsi="楷体" w:eastAsia="楷体" w:cs="宋体"/>
                          <w:b/>
                          <w:spacing w:val="-2"/>
                          <w:szCs w:val="21"/>
                          <w:u w:val="single"/>
                        </w:rPr>
                        <w:t>本产品各份额设置有不同业绩比较基准，各</w:t>
                      </w:r>
                      <w:r>
                        <w:rPr>
                          <w:rFonts w:hint="eastAsia" w:ascii="楷体" w:hAnsi="楷体" w:eastAsia="楷体" w:cs="宋体"/>
                          <w:b/>
                          <w:spacing w:val="-2"/>
                          <w:szCs w:val="21"/>
                          <w:u w:val="single"/>
                          <w:lang w:val="en-US" w:eastAsia="zh-CN"/>
                        </w:rPr>
                        <w:t>份额</w:t>
                      </w:r>
                      <w:r>
                        <w:rPr>
                          <w:rFonts w:hint="eastAsia" w:ascii="楷体" w:hAnsi="楷体" w:eastAsia="楷体" w:cs="宋体"/>
                          <w:b/>
                          <w:spacing w:val="-2"/>
                          <w:szCs w:val="21"/>
                          <w:u w:val="single"/>
                        </w:rPr>
                        <w:t>按照设置的销售对象和销售起点进行销售，客户根据设置的销售条件自主选择购买。</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u w:val="single"/>
                        </w:rPr>
                        <w:t>业绩比较基准为管理人对本产品所设定的投资目标，不代表理财产品未来表现，不等于理财产品实际收益，不作为产品收益的业绩保证，投资者的实际收益由产品净值表现决定。</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u w:val="single"/>
                        </w:rPr>
                        <w:t>投资者持仓份额的产品净值含有未收取的超额业绩报酬</w:t>
                      </w:r>
                      <w:r>
                        <w:rPr>
                          <w:rFonts w:hint="eastAsia" w:ascii="楷体" w:hAnsi="楷体" w:eastAsia="楷体" w:cs="宋体"/>
                          <w:b/>
                          <w:spacing w:val="-2"/>
                          <w:szCs w:val="21"/>
                          <w:u w:val="single"/>
                          <w:lang w:eastAsia="zh-CN"/>
                        </w:rPr>
                        <w:t>（</w:t>
                      </w:r>
                      <w:r>
                        <w:rPr>
                          <w:rFonts w:hint="eastAsia" w:ascii="楷体" w:hAnsi="楷体" w:eastAsia="楷体" w:cs="宋体"/>
                          <w:b/>
                          <w:spacing w:val="-2"/>
                          <w:szCs w:val="21"/>
                          <w:u w:val="single"/>
                          <w:lang w:val="en-US" w:eastAsia="zh-CN"/>
                        </w:rPr>
                        <w:t>如有</w:t>
                      </w:r>
                      <w:r>
                        <w:rPr>
                          <w:rFonts w:hint="eastAsia" w:ascii="楷体" w:hAnsi="楷体" w:eastAsia="楷体" w:cs="宋体"/>
                          <w:b/>
                          <w:spacing w:val="-2"/>
                          <w:szCs w:val="21"/>
                          <w:u w:val="single"/>
                          <w:lang w:eastAsia="zh-CN"/>
                        </w:rPr>
                        <w:t>）</w:t>
                      </w:r>
                      <w:r>
                        <w:rPr>
                          <w:rFonts w:hint="eastAsia" w:ascii="楷体" w:hAnsi="楷体" w:eastAsia="楷体" w:cs="宋体"/>
                          <w:b/>
                          <w:spacing w:val="-2"/>
                          <w:szCs w:val="21"/>
                          <w:u w:val="single"/>
                        </w:rPr>
                        <w:t>，自动赎回兑付金额以实际入账金额为准。</w:t>
                      </w:r>
                    </w:p>
                    <w:p>
                      <w:pPr>
                        <w:numPr>
                          <w:ilvl w:val="0"/>
                          <w:numId w:val="1"/>
                        </w:numPr>
                        <w:rPr>
                          <w:rFonts w:hint="eastAsia" w:ascii="楷体" w:hAnsi="楷体" w:eastAsia="楷体" w:cs="宋体"/>
                          <w:b/>
                          <w:spacing w:val="-2"/>
                          <w:szCs w:val="21"/>
                          <w:u w:val="single"/>
                        </w:rPr>
                      </w:pPr>
                      <w:r>
                        <w:rPr>
                          <w:rFonts w:hint="eastAsia" w:ascii="楷体" w:hAnsi="楷体" w:eastAsia="楷体" w:cs="宋体"/>
                          <w:b/>
                          <w:spacing w:val="-2"/>
                          <w:szCs w:val="21"/>
                          <w:highlight w:val="none"/>
                          <w:u w:val="single"/>
                        </w:rPr>
                        <w:t>客户服务热线</w:t>
                      </w:r>
                      <w:r>
                        <w:rPr>
                          <w:rFonts w:hint="eastAsia" w:ascii="楷体" w:hAnsi="楷体" w:eastAsia="楷体" w:cs="宋体"/>
                          <w:b/>
                          <w:spacing w:val="-2"/>
                          <w:szCs w:val="21"/>
                          <w:u w:val="single"/>
                        </w:rPr>
                        <w:t>：95319-</w:t>
                      </w:r>
                      <w:r>
                        <w:rPr>
                          <w:rFonts w:hint="eastAsia" w:ascii="楷体" w:hAnsi="楷体" w:eastAsia="楷体" w:cs="宋体"/>
                          <w:b/>
                          <w:spacing w:val="-2"/>
                          <w:szCs w:val="21"/>
                          <w:u w:val="single"/>
                          <w:lang w:val="en-US" w:eastAsia="zh-CN"/>
                        </w:rPr>
                        <w:t>8-2</w:t>
                      </w:r>
                      <w:r>
                        <w:rPr>
                          <w:rFonts w:hint="eastAsia" w:ascii="楷体" w:hAnsi="楷体" w:eastAsia="楷体" w:cs="宋体"/>
                          <w:b/>
                          <w:spacing w:val="-2"/>
                          <w:szCs w:val="21"/>
                          <w:u w:val="single"/>
                        </w:rPr>
                        <w:t>。</w:t>
                      </w:r>
                    </w:p>
                    <w:p>
                      <w:pPr>
                        <w:ind w:left="360" w:right="115" w:rightChars="55"/>
                        <w:rPr>
                          <w:rFonts w:hint="eastAsia" w:ascii="楷体" w:hAnsi="楷体" w:eastAsia="楷体"/>
                        </w:rPr>
                      </w:pPr>
                      <w:r>
                        <w:rPr>
                          <w:rFonts w:hint="eastAsia" w:ascii="楷体" w:hAnsi="楷体" w:eastAsia="楷体"/>
                        </w:rPr>
                        <w:t>以上为本产品的特别提示，详细内容请仔细阅读理财产品合同。</w:t>
                      </w:r>
                    </w:p>
                  </w:txbxContent>
                </v:textbox>
                <w10:wrap type="square"/>
              </v:shape>
            </w:pict>
          </mc:Fallback>
        </mc:AlternateContent>
      </w:r>
      <w:r>
        <w:rPr>
          <w:rFonts w:hint="eastAsia" w:ascii="楷体" w:hAnsi="楷体" w:eastAsia="楷体"/>
        </w:rPr>
        <w:t xml:space="preserve"> </w:t>
      </w:r>
    </w:p>
    <w:p>
      <w:pPr>
        <w:pStyle w:val="12"/>
        <w:spacing w:before="0" w:beforeAutospacing="0" w:after="0" w:afterAutospacing="0" w:line="360" w:lineRule="auto"/>
        <w:jc w:val="center"/>
        <w:rPr>
          <w:rFonts w:hint="eastAsia" w:ascii="楷体" w:hAnsi="楷体" w:eastAsia="楷体"/>
          <w:b/>
          <w:sz w:val="36"/>
          <w:szCs w:val="36"/>
        </w:rPr>
      </w:pPr>
      <w:r>
        <w:rPr>
          <w:rFonts w:hint="eastAsia" w:ascii="楷体" w:hAnsi="楷体" w:eastAsia="楷体"/>
          <w:b/>
          <w:sz w:val="36"/>
          <w:szCs w:val="36"/>
        </w:rPr>
        <w:t>“苏银理财恒源融达1号”</w:t>
      </w:r>
    </w:p>
    <w:p>
      <w:pPr>
        <w:pStyle w:val="12"/>
        <w:spacing w:before="0" w:beforeAutospacing="0" w:after="0" w:afterAutospacing="0" w:line="360" w:lineRule="auto"/>
        <w:jc w:val="center"/>
        <w:rPr>
          <w:rFonts w:hint="eastAsia" w:ascii="楷体" w:hAnsi="楷体" w:eastAsia="楷体"/>
          <w:b/>
          <w:sz w:val="36"/>
          <w:szCs w:val="36"/>
        </w:rPr>
      </w:pPr>
      <w:r>
        <w:rPr>
          <w:rFonts w:hint="eastAsia" w:ascii="楷体" w:hAnsi="楷体" w:eastAsia="楷体"/>
          <w:b/>
          <w:sz w:val="36"/>
          <w:szCs w:val="36"/>
        </w:rPr>
        <w:t>理财产品合同</w:t>
      </w:r>
    </w:p>
    <w:p>
      <w:pPr>
        <w:pStyle w:val="12"/>
        <w:spacing w:before="0" w:beforeAutospacing="0" w:after="0" w:afterAutospacing="0" w:line="360" w:lineRule="auto"/>
        <w:jc w:val="center"/>
        <w:rPr>
          <w:rFonts w:hint="eastAsia" w:ascii="楷体" w:hAnsi="楷体" w:eastAsia="楷体"/>
          <w:b/>
        </w:rPr>
      </w:pPr>
      <w:r>
        <w:rPr>
          <w:rFonts w:hint="eastAsia" w:ascii="楷体" w:hAnsi="楷体" w:eastAsia="楷体"/>
          <w:b/>
          <w:sz w:val="32"/>
          <w:szCs w:val="32"/>
        </w:rPr>
        <w:t>理财非存款、产品有风险、投资须谨慎</w:t>
      </w:r>
    </w:p>
    <w:p>
      <w:pPr>
        <w:pStyle w:val="12"/>
        <w:spacing w:before="0" w:beforeAutospacing="0" w:after="0" w:afterAutospacing="0" w:line="360" w:lineRule="auto"/>
        <w:jc w:val="center"/>
        <w:rPr>
          <w:rFonts w:hint="eastAsia" w:ascii="楷体" w:hAnsi="楷体" w:eastAsia="楷体"/>
          <w:b/>
        </w:rPr>
      </w:pPr>
      <w:r>
        <w:rPr>
          <w:rFonts w:hint="eastAsia" w:ascii="楷体" w:hAnsi="楷体" w:eastAsia="楷体"/>
          <w:b/>
        </w:rPr>
        <w:t>（202</w:t>
      </w:r>
      <w:r>
        <w:rPr>
          <w:rFonts w:hint="eastAsia" w:ascii="楷体" w:hAnsi="楷体" w:eastAsia="楷体"/>
          <w:b/>
          <w:lang w:val="en-US" w:eastAsia="zh-CN"/>
        </w:rPr>
        <w:t>5</w:t>
      </w:r>
      <w:r>
        <w:rPr>
          <w:rFonts w:hint="eastAsia" w:ascii="楷体" w:hAnsi="楷体" w:eastAsia="楷体"/>
          <w:b/>
        </w:rPr>
        <w:t>年</w:t>
      </w:r>
      <w:r>
        <w:rPr>
          <w:rFonts w:hint="eastAsia" w:ascii="楷体" w:hAnsi="楷体" w:eastAsia="楷体"/>
          <w:b/>
          <w:lang w:val="en-US" w:eastAsia="zh-CN"/>
        </w:rPr>
        <w:t>10</w:t>
      </w:r>
      <w:r>
        <w:rPr>
          <w:rFonts w:hint="eastAsia" w:ascii="楷体" w:hAnsi="楷体" w:eastAsia="楷体"/>
          <w:b/>
        </w:rPr>
        <w:t>月版）</w:t>
      </w:r>
    </w:p>
    <w:p>
      <w:pPr>
        <w:pStyle w:val="12"/>
        <w:spacing w:before="0" w:beforeAutospacing="0" w:after="0" w:afterAutospacing="0" w:line="360" w:lineRule="auto"/>
        <w:rPr>
          <w:rFonts w:hint="eastAsia" w:ascii="楷体" w:hAnsi="楷体" w:eastAsia="楷体"/>
          <w:b/>
          <w:sz w:val="30"/>
          <w:szCs w:val="30"/>
        </w:rPr>
      </w:pPr>
    </w:p>
    <w:tbl>
      <w:tblPr>
        <w:tblStyle w:val="14"/>
        <w:tblW w:w="9196" w:type="dxa"/>
        <w:tblInd w:w="-299"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93"/>
        <w:gridCol w:w="5670"/>
        <w:gridCol w:w="253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Style w:val="17"/>
                <w:rFonts w:hint="eastAsia" w:ascii="楷体" w:hAnsi="楷体" w:eastAsia="楷体"/>
                <w:bCs w:val="0"/>
                <w:sz w:val="18"/>
                <w:szCs w:val="18"/>
              </w:rPr>
              <w:t>序号</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Style w:val="17"/>
                <w:rFonts w:hint="eastAsia" w:ascii="楷体" w:hAnsi="楷体" w:eastAsia="楷体"/>
                <w:bCs w:val="0"/>
                <w:sz w:val="18"/>
                <w:szCs w:val="18"/>
              </w:rPr>
              <w:t>理财产品合同中的具体文件名称</w:t>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Style w:val="17"/>
                <w:rFonts w:hint="eastAsia" w:ascii="楷体" w:hAnsi="楷体" w:eastAsia="楷体"/>
                <w:bCs w:val="0"/>
                <w:sz w:val="18"/>
                <w:szCs w:val="18"/>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1</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“苏银理财恒源融达1号”理财产品风险揭示书</w:t>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2</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“苏银理财恒源融达1号”理财产品说明书</w:t>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理财产品说明书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3</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苏银理财有限责任公司理财产品投资协议书</w:t>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理财产品投资协议书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4</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投资者权益须知</w:t>
            </w:r>
            <w:r>
              <w:rPr>
                <w:rStyle w:val="20"/>
                <w:rFonts w:hint="eastAsia" w:ascii="楷体" w:hAnsi="楷体" w:eastAsia="楷体"/>
                <w:sz w:val="18"/>
                <w:szCs w:val="18"/>
              </w:rPr>
              <w:footnoteReference w:id="0"/>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ascii="楷体" w:hAnsi="楷体" w:eastAsia="楷体"/>
                <w:sz w:val="18"/>
                <w:szCs w:val="18"/>
              </w:rPr>
            </w:pPr>
            <w:r>
              <w:rPr>
                <w:rFonts w:hint="eastAsia" w:ascii="楷体" w:hAnsi="楷体" w:eastAsia="楷体"/>
                <w:sz w:val="18"/>
                <w:szCs w:val="18"/>
              </w:rPr>
              <w:t>投资者权益须知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5</w:t>
            </w:r>
          </w:p>
        </w:tc>
        <w:tc>
          <w:tcPr>
            <w:tcW w:w="5670"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理财产品（代理）销售协议书</w:t>
            </w:r>
            <w:r>
              <w:rPr>
                <w:rStyle w:val="20"/>
                <w:rFonts w:ascii="楷体" w:hAnsi="楷体" w:eastAsia="楷体"/>
              </w:rPr>
              <w:footnoteReference w:id="1"/>
            </w:r>
          </w:p>
        </w:tc>
        <w:tc>
          <w:tcPr>
            <w:tcW w:w="2533" w:type="dxa"/>
            <w:tcBorders>
              <w:top w:val="single" w:color="auto" w:sz="12" w:space="0"/>
              <w:left w:val="single" w:color="auto" w:sz="12" w:space="0"/>
              <w:bottom w:val="single" w:color="auto" w:sz="12" w:space="0"/>
              <w:right w:val="single" w:color="auto" w:sz="12" w:space="0"/>
            </w:tcBorders>
            <w:noWrap w:val="0"/>
            <w:vAlign w:val="top"/>
          </w:tcPr>
          <w:p>
            <w:pPr>
              <w:pStyle w:val="12"/>
              <w:spacing w:before="0" w:beforeAutospacing="0" w:after="0" w:afterAutospacing="0" w:line="360" w:lineRule="auto"/>
              <w:jc w:val="center"/>
              <w:rPr>
                <w:rFonts w:hint="eastAsia" w:ascii="楷体" w:hAnsi="楷体" w:eastAsia="楷体"/>
                <w:sz w:val="18"/>
                <w:szCs w:val="18"/>
              </w:rPr>
            </w:pPr>
            <w:r>
              <w:rPr>
                <w:rFonts w:hint="eastAsia" w:ascii="楷体" w:hAnsi="楷体" w:eastAsia="楷体"/>
                <w:sz w:val="18"/>
                <w:szCs w:val="18"/>
              </w:rPr>
              <w:t>理财产品（代理）销售协议书</w:t>
            </w:r>
          </w:p>
        </w:tc>
      </w:tr>
    </w:tbl>
    <w:p>
      <w:pPr>
        <w:pStyle w:val="12"/>
        <w:rPr>
          <w:rFonts w:hint="eastAsia" w:ascii="楷体" w:hAnsi="楷体" w:eastAsia="楷体"/>
        </w:rPr>
      </w:pPr>
    </w:p>
    <w:p>
      <w:pPr>
        <w:pStyle w:val="12"/>
        <w:spacing w:before="0" w:beforeAutospacing="0" w:after="0" w:afterAutospacing="0" w:line="280" w:lineRule="atLeast"/>
        <w:rPr>
          <w:rFonts w:hint="eastAsia" w:ascii="楷体" w:hAnsi="楷体" w:eastAsia="楷体"/>
        </w:rPr>
      </w:pPr>
      <w:r>
        <w:rPr>
          <w:rStyle w:val="17"/>
          <w:rFonts w:hint="eastAsia" w:ascii="楷体" w:hAnsi="楷体" w:eastAsia="楷体"/>
          <w:bCs w:val="0"/>
        </w:rPr>
        <w:t>郑重提示：</w:t>
      </w:r>
    </w:p>
    <w:p>
      <w:pPr>
        <w:pStyle w:val="12"/>
        <w:spacing w:before="156" w:beforeLines="50" w:beforeAutospacing="0" w:after="0" w:afterAutospacing="0"/>
        <w:ind w:firstLine="480" w:firstLineChars="200"/>
        <w:rPr>
          <w:rFonts w:hint="eastAsia" w:ascii="楷体" w:hAnsi="楷体" w:eastAsia="楷体"/>
        </w:rPr>
      </w:pPr>
      <w:r>
        <w:rPr>
          <w:rFonts w:hint="eastAsia" w:ascii="楷体" w:hAnsi="楷体" w:eastAsia="楷体" w:cs="Times New Roman"/>
        </w:rPr>
        <w:t>《风险揭示书》、《理财产品说明书》、《</w:t>
      </w:r>
      <w:r>
        <w:rPr>
          <w:rFonts w:hint="eastAsia" w:ascii="楷体" w:hAnsi="楷体" w:eastAsia="楷体" w:cs="Times New Roman"/>
          <w:lang w:eastAsia="zh-CN"/>
        </w:rPr>
        <w:t>理财产品（代理）销售协议书</w:t>
      </w:r>
      <w:r>
        <w:rPr>
          <w:rFonts w:hint="eastAsia" w:ascii="楷体" w:hAnsi="楷体" w:eastAsia="楷体" w:cs="Times New Roman"/>
        </w:rPr>
        <w:t>》、《理财产品投资协议书》、《投资者权益须知》等文件共同构成一份完整且不可分割的理财产品合同。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重新完成风险承受能力评估。</w:t>
      </w:r>
    </w:p>
    <w:p>
      <w:pPr>
        <w:pStyle w:val="12"/>
        <w:spacing w:before="0" w:beforeAutospacing="0" w:after="0" w:afterAutospacing="0"/>
        <w:ind w:firstLine="480" w:firstLineChars="200"/>
        <w:rPr>
          <w:rFonts w:ascii="楷体" w:hAnsi="楷体" w:eastAsia="楷体" w:cs="Times New Roman"/>
        </w:rPr>
      </w:pPr>
      <w:r>
        <w:rPr>
          <w:rFonts w:hint="eastAsia" w:ascii="楷体" w:hAnsi="楷体" w:eastAsia="楷体" w:cs="Times New Roman"/>
        </w:rPr>
        <w:t>为了维护您的权益，请在签署有关理财产品销售文件前，仔细阅读理财产品销售文件各条款（特别是“黑体字”、划线条款以及“★”标识），充分了解理财业务的运作细则，各方的权利、义务和责任。如有疑问，可向理财产品管理人或销售机构咨询。</w:t>
      </w: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12"/>
        <w:spacing w:before="0" w:beforeAutospacing="0" w:after="0" w:afterAutospacing="0" w:line="360" w:lineRule="auto"/>
        <w:jc w:val="center"/>
        <w:rPr>
          <w:rFonts w:hint="eastAsia" w:ascii="楷体" w:hAnsi="楷体" w:eastAsia="楷体"/>
          <w:b/>
          <w:sz w:val="36"/>
          <w:szCs w:val="36"/>
        </w:rPr>
      </w:pPr>
    </w:p>
    <w:p>
      <w:pPr>
        <w:pStyle w:val="2"/>
        <w:bidi w:val="0"/>
        <w:rPr>
          <w:rFonts w:hint="eastAsia"/>
        </w:rPr>
      </w:pPr>
    </w:p>
    <w:p>
      <w:pPr>
        <w:pStyle w:val="12"/>
        <w:spacing w:before="0" w:beforeAutospacing="0" w:after="0" w:afterAutospacing="0" w:line="360" w:lineRule="auto"/>
        <w:jc w:val="center"/>
        <w:rPr>
          <w:rFonts w:hint="eastAsia" w:ascii="楷体" w:hAnsi="楷体" w:eastAsia="楷体"/>
          <w:b/>
          <w:sz w:val="36"/>
          <w:szCs w:val="36"/>
        </w:rPr>
      </w:pPr>
      <w:r>
        <w:rPr>
          <w:rFonts w:hint="eastAsia" w:ascii="楷体" w:hAnsi="楷体" w:eastAsia="楷体"/>
          <w:b/>
          <w:sz w:val="36"/>
          <w:szCs w:val="36"/>
        </w:rPr>
        <w:t>“苏银理财恒源融达1号”理财产品说明书</w:t>
      </w:r>
    </w:p>
    <w:p>
      <w:pPr>
        <w:jc w:val="center"/>
        <w:rPr>
          <w:rFonts w:hint="eastAsia" w:ascii="楷体" w:hAnsi="楷体" w:eastAsia="楷体"/>
          <w:b/>
          <w:sz w:val="28"/>
          <w:szCs w:val="28"/>
        </w:rPr>
      </w:pPr>
      <w:r>
        <w:rPr>
          <w:rFonts w:hint="eastAsia" w:ascii="楷体" w:hAnsi="楷体" w:eastAsia="楷体" w:cs="宋体"/>
          <w:b/>
          <w:kern w:val="0"/>
          <w:sz w:val="32"/>
          <w:szCs w:val="32"/>
        </w:rPr>
        <w:t>理财非存款、产品有风险、投资须谨慎</w:t>
      </w:r>
    </w:p>
    <w:p>
      <w:pPr>
        <w:rPr>
          <w:rFonts w:hint="eastAsia" w:ascii="楷体" w:hAnsi="楷体" w:eastAsia="楷体"/>
          <w:b/>
          <w:sz w:val="28"/>
          <w:szCs w:val="28"/>
        </w:rPr>
      </w:pPr>
      <w:r>
        <w:rPr>
          <w:rFonts w:hint="eastAsia" w:ascii="楷体" w:hAnsi="楷体" w:eastAsia="楷体"/>
          <w:b/>
          <w:sz w:val="28"/>
          <w:szCs w:val="28"/>
        </w:rPr>
        <w:t>重要须知</w:t>
      </w:r>
    </w:p>
    <w:p>
      <w:pPr>
        <w:numPr>
          <w:ilvl w:val="0"/>
          <w:numId w:val="2"/>
        </w:numPr>
        <w:rPr>
          <w:rFonts w:ascii="楷体" w:hAnsi="楷体" w:eastAsia="楷体"/>
          <w:sz w:val="24"/>
          <w:szCs w:val="24"/>
        </w:rPr>
      </w:pPr>
      <w:r>
        <w:rPr>
          <w:rFonts w:hint="eastAsia" w:ascii="楷体" w:hAnsi="楷体" w:eastAsia="楷体"/>
          <w:sz w:val="24"/>
          <w:szCs w:val="24"/>
        </w:rPr>
        <w:t>在购买本理财产品前，投资者应确保自己完全理解该项投资的性质和所涉及的风险，详细了解和审慎评估该理财产品的资金方向、风险类型等基本情况，在慎重考虑后自行决定购买与自身风险承受能力和资产管理需求匹配的理财产品。</w:t>
      </w:r>
    </w:p>
    <w:p>
      <w:pPr>
        <w:numPr>
          <w:ilvl w:val="0"/>
          <w:numId w:val="2"/>
        </w:numPr>
        <w:rPr>
          <w:rFonts w:ascii="楷体" w:hAnsi="楷体" w:eastAsia="楷体"/>
          <w:b/>
          <w:sz w:val="24"/>
          <w:szCs w:val="24"/>
          <w:u w:val="single"/>
        </w:rPr>
      </w:pPr>
      <w:r>
        <w:rPr>
          <w:rFonts w:hint="eastAsia" w:ascii="楷体" w:hAnsi="楷体" w:eastAsia="楷体"/>
          <w:b/>
          <w:sz w:val="24"/>
          <w:szCs w:val="24"/>
          <w:u w:val="single"/>
        </w:rPr>
        <w:t>本理财产品不保证本金及收益，您的本金可能因市场变动</w:t>
      </w:r>
      <w:r>
        <w:rPr>
          <w:rFonts w:hint="eastAsia" w:ascii="楷体" w:hAnsi="楷体" w:eastAsia="楷体"/>
          <w:b/>
          <w:sz w:val="24"/>
          <w:szCs w:val="24"/>
          <w:u w:val="single"/>
          <w:lang w:val="en-US" w:eastAsia="zh-CN"/>
        </w:rPr>
        <w:t>或者交易违约等事项</w:t>
      </w:r>
      <w:r>
        <w:rPr>
          <w:rFonts w:hint="eastAsia" w:ascii="楷体" w:hAnsi="楷体" w:eastAsia="楷体"/>
          <w:b/>
          <w:sz w:val="24"/>
          <w:szCs w:val="24"/>
          <w:u w:val="single"/>
        </w:rPr>
        <w:t>而蒙受相应损失，投资者应充分认识投资风险，谨慎投资；本理财产品过往业绩不代表其未来表现，不等于理财产品实际收益，投资须谨慎；理财非存款、产品有风险、投资须谨慎。</w:t>
      </w:r>
    </w:p>
    <w:p>
      <w:pPr>
        <w:numPr>
          <w:ilvl w:val="0"/>
          <w:numId w:val="2"/>
        </w:numPr>
        <w:rPr>
          <w:rFonts w:ascii="楷体" w:hAnsi="楷体" w:eastAsia="楷体"/>
          <w:b/>
          <w:sz w:val="24"/>
          <w:szCs w:val="24"/>
          <w:u w:val="single"/>
        </w:rPr>
      </w:pPr>
      <w:r>
        <w:rPr>
          <w:rFonts w:hint="eastAsia" w:ascii="楷体" w:hAnsi="楷体" w:eastAsia="楷体"/>
          <w:b/>
          <w:sz w:val="24"/>
          <w:szCs w:val="24"/>
          <w:u w:val="single"/>
        </w:rPr>
        <w:t>本理财产品的任何业绩比较区间、业绩比较基准类似表述均属不具有法律约束力的用语，业绩比较基准</w:t>
      </w:r>
      <w:r>
        <w:rPr>
          <w:rFonts w:hint="eastAsia" w:ascii="楷体" w:hAnsi="楷体" w:eastAsia="楷体"/>
          <w:b/>
          <w:sz w:val="24"/>
          <w:szCs w:val="24"/>
          <w:u w:val="single"/>
          <w:lang w:val="en-US" w:eastAsia="zh-CN"/>
        </w:rPr>
        <w:t>为管理人</w:t>
      </w:r>
      <w:r>
        <w:rPr>
          <w:rFonts w:hint="eastAsia" w:ascii="楷体" w:hAnsi="楷体" w:eastAsia="楷体"/>
          <w:b/>
          <w:sz w:val="24"/>
          <w:szCs w:val="24"/>
          <w:u w:val="single"/>
        </w:rPr>
        <w:t>对本产品所设定的投资目标</w:t>
      </w:r>
      <w:r>
        <w:rPr>
          <w:rFonts w:hint="eastAsia" w:ascii="楷体" w:hAnsi="楷体" w:eastAsia="楷体"/>
          <w:b/>
          <w:sz w:val="24"/>
          <w:szCs w:val="24"/>
          <w:u w:val="single"/>
          <w:lang w:eastAsia="zh-CN"/>
        </w:rPr>
        <w:t>，</w:t>
      </w:r>
      <w:r>
        <w:rPr>
          <w:rFonts w:hint="eastAsia" w:ascii="楷体" w:hAnsi="楷体" w:eastAsia="楷体"/>
          <w:b/>
          <w:sz w:val="24"/>
          <w:szCs w:val="24"/>
          <w:u w:val="single"/>
        </w:rPr>
        <w:t>不代表投资者可能获得的实际收益，亦不构成苏银理财有限责任公司（以下简称“苏银理财”）对本理财产品的任何收益承诺。</w:t>
      </w:r>
    </w:p>
    <w:p>
      <w:pPr>
        <w:numPr>
          <w:ilvl w:val="0"/>
          <w:numId w:val="2"/>
        </w:numPr>
        <w:rPr>
          <w:rFonts w:ascii="楷体" w:hAnsi="楷体" w:eastAsia="楷体"/>
          <w:sz w:val="24"/>
          <w:szCs w:val="24"/>
        </w:rPr>
      </w:pPr>
      <w:r>
        <w:rPr>
          <w:rFonts w:hint="eastAsia" w:ascii="楷体" w:hAnsi="楷体" w:eastAsia="楷体"/>
          <w:sz w:val="24"/>
          <w:szCs w:val="24"/>
        </w:rPr>
        <w:t>《理财产品说明书》、《风险揭示书》、《投资者权益须知》、《理财产品投资协议书》、《理财产品（代理）销售协议书》共同构成本理财产品完整的不可分割的理财产品合同。</w:t>
      </w:r>
    </w:p>
    <w:p>
      <w:pPr>
        <w:numPr>
          <w:ilvl w:val="0"/>
          <w:numId w:val="2"/>
        </w:numPr>
        <w:rPr>
          <w:rFonts w:ascii="楷体" w:hAnsi="楷体" w:eastAsia="楷体"/>
          <w:sz w:val="24"/>
          <w:szCs w:val="24"/>
        </w:rPr>
      </w:pPr>
      <w:r>
        <w:rPr>
          <w:rFonts w:hint="eastAsia" w:ascii="楷体" w:hAnsi="楷体" w:eastAsia="楷体"/>
          <w:sz w:val="24"/>
          <w:szCs w:val="24"/>
        </w:rPr>
        <w:t>本理财产品涉及的主要风险包括政策风险、信用风险、市场风险、流动性风险、管理风险、操作风险、产品不成立风险、延期兑付风险、提前终止风险、信息传递风险、税务风险、代销风险</w:t>
      </w:r>
      <w:r>
        <w:rPr>
          <w:rFonts w:hint="eastAsia" w:ascii="楷体" w:hAnsi="楷体" w:eastAsia="楷体"/>
          <w:sz w:val="24"/>
          <w:szCs w:val="24"/>
          <w:lang w:eastAsia="zh-CN"/>
        </w:rPr>
        <w:t>（</w:t>
      </w:r>
      <w:r>
        <w:rPr>
          <w:rFonts w:hint="eastAsia" w:ascii="楷体" w:hAnsi="楷体" w:eastAsia="楷体"/>
          <w:sz w:val="24"/>
          <w:szCs w:val="24"/>
          <w:lang w:val="en-US" w:eastAsia="zh-CN"/>
        </w:rPr>
        <w:t>如有</w:t>
      </w:r>
      <w:r>
        <w:rPr>
          <w:rFonts w:hint="eastAsia" w:ascii="楷体" w:hAnsi="楷体" w:eastAsia="楷体"/>
          <w:sz w:val="24"/>
          <w:szCs w:val="24"/>
          <w:lang w:eastAsia="zh-CN"/>
        </w:rPr>
        <w:t>）</w:t>
      </w:r>
      <w:r>
        <w:rPr>
          <w:rFonts w:hint="eastAsia" w:ascii="楷体" w:hAnsi="楷体" w:eastAsia="楷体"/>
          <w:sz w:val="24"/>
          <w:szCs w:val="24"/>
        </w:rPr>
        <w:t>、其他风险等。请仔细阅读《“苏银理财恒源融达1号”理财产品风险揭示书》的“风险揭示”部分。</w:t>
      </w:r>
    </w:p>
    <w:p>
      <w:pPr>
        <w:numPr>
          <w:ilvl w:val="0"/>
          <w:numId w:val="2"/>
        </w:numPr>
        <w:rPr>
          <w:rFonts w:ascii="楷体" w:hAnsi="楷体" w:eastAsia="楷体"/>
          <w:b/>
          <w:sz w:val="24"/>
          <w:szCs w:val="24"/>
          <w:u w:val="single"/>
        </w:rPr>
      </w:pPr>
      <w:r>
        <w:rPr>
          <w:rFonts w:hint="eastAsia" w:ascii="楷体" w:hAnsi="楷体" w:eastAsia="楷体"/>
          <w:b/>
          <w:sz w:val="24"/>
          <w:szCs w:val="24"/>
          <w:u w:val="single"/>
        </w:rPr>
        <w:t>投资者不得使用贷款、发行债券等筹集的非自有资金投资本理财产品。</w:t>
      </w:r>
    </w:p>
    <w:p>
      <w:pPr>
        <w:numPr>
          <w:ilvl w:val="0"/>
          <w:numId w:val="2"/>
        </w:numPr>
        <w:rPr>
          <w:rFonts w:hint="eastAsia" w:ascii="楷体" w:hAnsi="楷体" w:eastAsia="楷体"/>
          <w:b/>
          <w:sz w:val="24"/>
          <w:szCs w:val="24"/>
          <w:u w:val="single"/>
        </w:rPr>
      </w:pPr>
      <w:r>
        <w:rPr>
          <w:rFonts w:hint="eastAsia" w:ascii="楷体" w:hAnsi="楷体" w:eastAsia="楷体"/>
          <w:sz w:val="24"/>
          <w:szCs w:val="24"/>
        </w:rPr>
        <w:t>本理财产品类型为</w:t>
      </w:r>
      <w:r>
        <w:rPr>
          <w:rFonts w:hint="eastAsia" w:ascii="楷体" w:hAnsi="楷体" w:eastAsia="楷体"/>
          <w:b/>
          <w:sz w:val="24"/>
          <w:szCs w:val="24"/>
          <w:u w:val="single"/>
        </w:rPr>
        <w:t>固定收益类</w:t>
      </w:r>
      <w:r>
        <w:rPr>
          <w:rFonts w:hint="eastAsia" w:ascii="楷体" w:hAnsi="楷体" w:eastAsia="楷体"/>
          <w:sz w:val="24"/>
          <w:szCs w:val="24"/>
        </w:rPr>
        <w:t>产品。若法律法规、监管政策及市场情况发生变化，苏银理财有权在不改变产品类型的情况下，可对本说明书中已约定的投资范围、投资品种、投资比例以及收费项目、条件、标准、方式和收益分配原则进行调整，</w:t>
      </w:r>
      <w:r>
        <w:rPr>
          <w:rFonts w:hint="eastAsia" w:ascii="楷体" w:hAnsi="楷体" w:eastAsia="楷体"/>
          <w:b/>
          <w:bCs/>
          <w:sz w:val="24"/>
          <w:szCs w:val="24"/>
          <w:u w:val="single"/>
        </w:rPr>
        <w:t>产品管理人将于调整事项生效前2个工作日通过短信及苏银理财有限责任公司官方网站（www.suyinwealth.com）、销售机构电子渠道和营业网点等方式进行信息披露。此种情况下产品管理人可能开放赎回，具体以届时产品管理人公告为准。若本理财产品的投资者不接受上述调整，可及时通过销售机构赎回本产品（高风险类型的理财产品超出比例范围投资较低风险资产的情况除外）；若本理财产品投资者未在约定的时间内赎回本产品，则视为本理财产品投资者接受相关调整且同意继续持有本理财产品。</w:t>
      </w:r>
    </w:p>
    <w:p>
      <w:pPr>
        <w:numPr>
          <w:ilvl w:val="0"/>
          <w:numId w:val="2"/>
        </w:numPr>
        <w:rPr>
          <w:rFonts w:hint="eastAsia" w:ascii="楷体" w:hAnsi="楷体" w:eastAsia="楷体"/>
          <w:sz w:val="24"/>
          <w:szCs w:val="24"/>
        </w:rPr>
      </w:pPr>
      <w:r>
        <w:rPr>
          <w:rFonts w:hint="eastAsia" w:ascii="楷体" w:hAnsi="楷体" w:eastAsia="楷体"/>
          <w:sz w:val="24"/>
          <w:szCs w:val="24"/>
        </w:rPr>
        <w:t>为贯彻落实</w:t>
      </w:r>
      <w:r>
        <w:rPr>
          <w:rFonts w:hint="eastAsia" w:ascii="楷体" w:hAnsi="楷体" w:eastAsia="楷体"/>
          <w:sz w:val="24"/>
          <w:szCs w:val="24"/>
          <w:lang w:val="en-US" w:eastAsia="zh-CN"/>
        </w:rPr>
        <w:t>金融监管总局</w:t>
      </w:r>
      <w:r>
        <w:rPr>
          <w:rFonts w:hint="eastAsia" w:ascii="楷体" w:hAnsi="楷体" w:eastAsia="楷体"/>
          <w:sz w:val="24"/>
          <w:szCs w:val="24"/>
        </w:rPr>
        <w:t>和银行业理财登记托管中心的要求，苏银理财将向监管机构报送理财产品投资者身份信息、每日交易、持仓等信息。后续</w:t>
      </w:r>
      <w:r>
        <w:rPr>
          <w:rFonts w:hint="eastAsia" w:ascii="楷体" w:hAnsi="楷体" w:eastAsia="楷体"/>
          <w:sz w:val="24"/>
          <w:szCs w:val="24"/>
          <w:lang w:val="en-US" w:eastAsia="zh-CN"/>
        </w:rPr>
        <w:t>金融监管总局</w:t>
      </w:r>
      <w:r>
        <w:rPr>
          <w:rFonts w:hint="eastAsia" w:ascii="楷体" w:hAnsi="楷体" w:eastAsia="楷体"/>
          <w:sz w:val="24"/>
          <w:szCs w:val="24"/>
        </w:rPr>
        <w:t>和银行业理财登记托管中心等机关如果提出新的信息报送要求，苏银理财将按照该等机关的要求执行。投资者签署本理财产品销售文件即视为已经同意苏银理财将按照相关机关要求报送投资者相关信息。</w:t>
      </w:r>
    </w:p>
    <w:p>
      <w:pPr>
        <w:numPr>
          <w:ilvl w:val="0"/>
          <w:numId w:val="2"/>
        </w:numPr>
        <w:rPr>
          <w:rFonts w:ascii="楷体" w:hAnsi="楷体" w:eastAsia="楷体"/>
          <w:sz w:val="24"/>
          <w:szCs w:val="24"/>
        </w:rPr>
      </w:pPr>
      <w:r>
        <w:rPr>
          <w:rFonts w:hint="eastAsia" w:ascii="楷体" w:hAnsi="楷体" w:eastAsia="楷体"/>
          <w:sz w:val="24"/>
          <w:szCs w:val="24"/>
        </w:rPr>
        <w:t>在本产品存续期内，如因监管政策或法律法规发生变化，在不损害投资者利益的前提下，苏银理财有权单方对本产品条款进行修订，并按本理财产品说明书约定的信息披露方式予以披露。</w:t>
      </w:r>
    </w:p>
    <w:p>
      <w:pPr>
        <w:numPr>
          <w:ilvl w:val="0"/>
          <w:numId w:val="2"/>
        </w:numPr>
        <w:rPr>
          <w:rFonts w:ascii="楷体" w:hAnsi="楷体" w:eastAsia="楷体"/>
          <w:sz w:val="24"/>
          <w:szCs w:val="24"/>
        </w:rPr>
      </w:pPr>
      <w:r>
        <w:rPr>
          <w:rFonts w:hint="eastAsia" w:ascii="楷体" w:hAnsi="楷体" w:eastAsia="楷体"/>
          <w:sz w:val="24"/>
          <w:szCs w:val="24"/>
        </w:rPr>
        <w:t>在购买本理财产品后，投资者应随时关注该理财产品的信息披露情况，及时获取相关信息。</w:t>
      </w:r>
    </w:p>
    <w:p>
      <w:pPr>
        <w:numPr>
          <w:ilvl w:val="0"/>
          <w:numId w:val="2"/>
        </w:numPr>
        <w:rPr>
          <w:rFonts w:hint="eastAsia" w:ascii="楷体" w:hAnsi="楷体" w:eastAsia="楷体"/>
        </w:rPr>
      </w:pPr>
      <w:r>
        <w:rPr>
          <w:rFonts w:hint="eastAsia" w:ascii="楷体" w:hAnsi="楷体" w:eastAsia="楷体"/>
          <w:sz w:val="24"/>
          <w:szCs w:val="24"/>
        </w:rPr>
        <w:t>本理财产品说明书在法律许可的范围内由苏银理财负责解释。</w:t>
      </w:r>
    </w:p>
    <w:p>
      <w:pPr>
        <w:ind w:left="420"/>
        <w:rPr>
          <w:rFonts w:hint="eastAsia" w:ascii="楷体" w:hAnsi="楷体" w:eastAsia="楷体"/>
          <w:sz w:val="24"/>
          <w:szCs w:val="24"/>
        </w:rPr>
      </w:pPr>
    </w:p>
    <w:p>
      <w:pPr>
        <w:numPr>
          <w:ilvl w:val="0"/>
          <w:numId w:val="3"/>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产品要素</w:t>
      </w:r>
    </w:p>
    <w:p>
      <w:pPr>
        <w:ind w:firstLine="480" w:firstLineChars="200"/>
        <w:rPr>
          <w:rFonts w:ascii="楷体" w:hAnsi="楷体" w:eastAsia="楷体" w:cs="Calibri"/>
          <w:sz w:val="24"/>
          <w:szCs w:val="24"/>
        </w:rPr>
      </w:pPr>
      <w:r>
        <w:rPr>
          <w:rFonts w:hint="eastAsia" w:ascii="楷体" w:hAnsi="楷体" w:eastAsia="楷体" w:cs="Calibri"/>
          <w:sz w:val="24"/>
          <w:szCs w:val="24"/>
        </w:rPr>
        <w:t>为保护投资者合法权益，尊重投资者的知情权和自主选择权，现将本理财产品的基本要素说明如下：</w:t>
      </w:r>
    </w:p>
    <w:tbl>
      <w:tblPr>
        <w:tblStyle w:val="14"/>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48"/>
        <w:gridCol w:w="6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1"/>
              <w:ind w:left="2"/>
              <w:rPr>
                <w:rFonts w:ascii="楷体" w:hAnsi="楷体" w:eastAsia="楷体" w:cs="宋体"/>
                <w:b/>
                <w:spacing w:val="-2"/>
                <w:sz w:val="21"/>
                <w:szCs w:val="21"/>
              </w:rPr>
            </w:pPr>
            <w:r>
              <w:rPr>
                <w:rFonts w:hint="eastAsia" w:ascii="楷体" w:hAnsi="楷体" w:eastAsia="楷体" w:cs="宋体"/>
                <w:b/>
                <w:spacing w:val="-2"/>
                <w:sz w:val="21"/>
                <w:szCs w:val="21"/>
              </w:rPr>
              <w:t>产品名称</w:t>
            </w:r>
          </w:p>
        </w:tc>
        <w:tc>
          <w:tcPr>
            <w:tcW w:w="6468" w:type="dxa"/>
            <w:noWrap w:val="0"/>
            <w:vAlign w:val="center"/>
          </w:tcPr>
          <w:p>
            <w:pPr>
              <w:pStyle w:val="33"/>
              <w:kinsoku w:val="0"/>
              <w:overflowPunct w:val="0"/>
              <w:spacing w:before="13"/>
              <w:ind w:left="2"/>
              <w:rPr>
                <w:rFonts w:hint="eastAsia" w:ascii="楷体" w:hAnsi="楷体" w:eastAsia="楷体" w:cs="宋体"/>
                <w:spacing w:val="-2"/>
                <w:sz w:val="21"/>
                <w:szCs w:val="21"/>
              </w:rPr>
            </w:pPr>
            <w:r>
              <w:rPr>
                <w:rFonts w:hint="eastAsia" w:ascii="楷体" w:hAnsi="楷体" w:eastAsia="楷体" w:cs="宋体"/>
                <w:spacing w:val="-2"/>
                <w:sz w:val="21"/>
                <w:szCs w:val="21"/>
              </w:rPr>
              <w:t>苏银理财恒源融达1号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40"/>
              <w:ind w:left="4"/>
              <w:rPr>
                <w:rFonts w:ascii="楷体" w:hAnsi="楷体" w:eastAsia="楷体" w:cs="宋体"/>
                <w:b/>
                <w:spacing w:val="-2"/>
                <w:sz w:val="21"/>
                <w:szCs w:val="21"/>
              </w:rPr>
            </w:pPr>
            <w:r>
              <w:rPr>
                <w:rFonts w:hint="eastAsia" w:ascii="楷体" w:hAnsi="楷体" w:eastAsia="楷体" w:cs="宋体"/>
                <w:b/>
                <w:spacing w:val="-2"/>
                <w:sz w:val="21"/>
                <w:szCs w:val="21"/>
              </w:rPr>
              <w:t>理财产品登记编码</w:t>
            </w:r>
          </w:p>
        </w:tc>
        <w:tc>
          <w:tcPr>
            <w:tcW w:w="6468" w:type="dxa"/>
            <w:noWrap w:val="0"/>
            <w:vAlign w:val="center"/>
          </w:tcPr>
          <w:p>
            <w:pPr>
              <w:pStyle w:val="33"/>
              <w:kinsoku w:val="0"/>
              <w:overflowPunct w:val="0"/>
              <w:spacing w:line="260" w:lineRule="exact"/>
              <w:ind w:left="10"/>
              <w:rPr>
                <w:rFonts w:hint="eastAsia" w:ascii="楷体" w:hAnsi="楷体" w:eastAsia="楷体" w:cs="宋体"/>
                <w:spacing w:val="-2"/>
                <w:sz w:val="21"/>
                <w:szCs w:val="21"/>
              </w:rPr>
            </w:pPr>
            <w:r>
              <w:rPr>
                <w:rFonts w:hint="eastAsia" w:ascii="楷体" w:hAnsi="楷体" w:eastAsia="楷体" w:cs="宋体"/>
                <w:spacing w:val="-2"/>
                <w:sz w:val="21"/>
                <w:szCs w:val="21"/>
              </w:rPr>
              <w:t>Z7003123000062</w:t>
            </w:r>
          </w:p>
          <w:p>
            <w:pPr>
              <w:pStyle w:val="33"/>
              <w:kinsoku w:val="0"/>
              <w:overflowPunct w:val="0"/>
              <w:spacing w:line="260" w:lineRule="exact"/>
              <w:ind w:left="10"/>
              <w:rPr>
                <w:rFonts w:ascii="楷体" w:hAnsi="楷体" w:eastAsia="楷体" w:cs="宋体"/>
                <w:spacing w:val="-2"/>
                <w:sz w:val="21"/>
                <w:szCs w:val="21"/>
              </w:rPr>
            </w:pPr>
            <w:r>
              <w:rPr>
                <w:rFonts w:hint="eastAsia" w:ascii="楷体" w:hAnsi="楷体" w:eastAsia="楷体" w:cs="宋体"/>
                <w:spacing w:val="-2"/>
                <w:sz w:val="21"/>
                <w:szCs w:val="21"/>
              </w:rPr>
              <w:t>（投资者可依据该编码在中国理财网</w:t>
            </w:r>
            <w:r>
              <w:rPr>
                <w:rFonts w:ascii="楷体" w:hAnsi="楷体" w:eastAsia="楷体" w:cs="宋体"/>
                <w:spacing w:val="-2"/>
                <w:sz w:val="21"/>
                <w:szCs w:val="21"/>
              </w:rPr>
              <w:fldChar w:fldCharType="begin"/>
            </w:r>
            <w:r>
              <w:rPr>
                <w:rFonts w:ascii="楷体" w:hAnsi="楷体" w:eastAsia="楷体" w:cs="宋体"/>
                <w:spacing w:val="-2"/>
                <w:sz w:val="21"/>
                <w:szCs w:val="21"/>
              </w:rPr>
              <w:instrText xml:space="preserve"> HYPERLINK "http://www.chinawealth.com.cn/" </w:instrText>
            </w:r>
            <w:r>
              <w:rPr>
                <w:rFonts w:ascii="楷体" w:hAnsi="楷体" w:eastAsia="楷体" w:cs="宋体"/>
                <w:spacing w:val="-2"/>
                <w:sz w:val="21"/>
                <w:szCs w:val="21"/>
              </w:rPr>
              <w:fldChar w:fldCharType="separate"/>
            </w:r>
            <w:r>
              <w:rPr>
                <w:rFonts w:ascii="楷体" w:hAnsi="楷体" w:eastAsia="楷体" w:cs="宋体"/>
                <w:spacing w:val="-2"/>
                <w:sz w:val="21"/>
                <w:szCs w:val="21"/>
              </w:rPr>
              <w:t>www.chinawealth.com.cn</w:t>
            </w:r>
            <w:r>
              <w:rPr>
                <w:rFonts w:ascii="楷体" w:hAnsi="楷体" w:eastAsia="楷体" w:cs="宋体"/>
                <w:spacing w:val="-2"/>
                <w:sz w:val="21"/>
                <w:szCs w:val="21"/>
              </w:rPr>
              <w:fldChar w:fldCharType="end"/>
            </w:r>
            <w:r>
              <w:rPr>
                <w:rFonts w:hint="eastAsia" w:ascii="楷体" w:hAnsi="楷体" w:eastAsia="楷体" w:cs="宋体"/>
                <w:spacing w:val="-2"/>
                <w:sz w:val="21"/>
                <w:szCs w:val="21"/>
              </w:rPr>
              <w:t>查询产品信息），产品变更前原理财产品登记编码为C1086818000096。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ind w:left="2"/>
              <w:rPr>
                <w:rFonts w:ascii="楷体" w:hAnsi="楷体" w:eastAsia="楷体" w:cs="宋体"/>
                <w:b/>
                <w:spacing w:val="-2"/>
                <w:sz w:val="21"/>
                <w:szCs w:val="21"/>
              </w:rPr>
            </w:pPr>
            <w:r>
              <w:rPr>
                <w:rFonts w:hint="eastAsia" w:ascii="楷体" w:hAnsi="楷体" w:eastAsia="楷体" w:cs="宋体"/>
                <w:b/>
                <w:spacing w:val="-2"/>
                <w:sz w:val="21"/>
                <w:szCs w:val="21"/>
              </w:rPr>
              <w:t>销售简称/销售代码</w:t>
            </w:r>
          </w:p>
        </w:tc>
        <w:tc>
          <w:tcPr>
            <w:tcW w:w="6468" w:type="dxa"/>
            <w:noWrap w:val="0"/>
            <w:vAlign w:val="center"/>
          </w:tcPr>
          <w:p>
            <w:pPr>
              <w:pStyle w:val="33"/>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rPr>
              <w:t>芙蓉锦程·优选份额：苏银理财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/J03612</w:t>
            </w:r>
          </w:p>
          <w:p>
            <w:pPr>
              <w:pStyle w:val="33"/>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lang w:val="en-US" w:eastAsia="zh-CN"/>
              </w:rPr>
              <w:t>Z</w:t>
            </w:r>
            <w:r>
              <w:rPr>
                <w:rFonts w:hint="eastAsia" w:ascii="楷体" w:hAnsi="楷体" w:eastAsia="楷体" w:cs="宋体"/>
                <w:spacing w:val="-2"/>
                <w:sz w:val="21"/>
                <w:szCs w:val="21"/>
              </w:rPr>
              <w:t>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Z</w:t>
            </w:r>
            <w:r>
              <w:rPr>
                <w:rFonts w:hint="eastAsia" w:ascii="楷体" w:hAnsi="楷体" w:eastAsia="楷体" w:cs="宋体"/>
                <w:spacing w:val="-2"/>
                <w:sz w:val="21"/>
                <w:szCs w:val="21"/>
              </w:rPr>
              <w:t>/J03613</w:t>
            </w:r>
          </w:p>
          <w:p>
            <w:pPr>
              <w:pStyle w:val="33"/>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lang w:val="en-US" w:eastAsia="zh-CN"/>
              </w:rPr>
              <w:t>Q</w:t>
            </w:r>
            <w:r>
              <w:rPr>
                <w:rFonts w:hint="eastAsia" w:ascii="楷体" w:hAnsi="楷体" w:eastAsia="楷体" w:cs="宋体"/>
                <w:spacing w:val="-2"/>
                <w:sz w:val="21"/>
                <w:szCs w:val="21"/>
              </w:rPr>
              <w:t>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Q</w:t>
            </w:r>
            <w:r>
              <w:rPr>
                <w:rFonts w:hint="eastAsia" w:ascii="楷体" w:hAnsi="楷体" w:eastAsia="楷体" w:cs="宋体"/>
                <w:spacing w:val="-2"/>
                <w:sz w:val="21"/>
                <w:szCs w:val="21"/>
              </w:rPr>
              <w:t>/J03614</w:t>
            </w:r>
          </w:p>
          <w:p>
            <w:pPr>
              <w:pStyle w:val="33"/>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lang w:val="en-US" w:eastAsia="zh-CN"/>
              </w:rPr>
              <w:t>JS</w:t>
            </w:r>
            <w:r>
              <w:rPr>
                <w:rFonts w:hint="eastAsia" w:ascii="楷体" w:hAnsi="楷体" w:eastAsia="楷体" w:cs="宋体"/>
                <w:spacing w:val="-2"/>
                <w:sz w:val="21"/>
                <w:szCs w:val="21"/>
              </w:rPr>
              <w:t>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JS鑫福款</w:t>
            </w:r>
            <w:r>
              <w:rPr>
                <w:rFonts w:hint="eastAsia" w:ascii="楷体" w:hAnsi="楷体" w:eastAsia="楷体" w:cs="宋体"/>
                <w:spacing w:val="-2"/>
                <w:sz w:val="21"/>
                <w:szCs w:val="21"/>
              </w:rPr>
              <w:t>/J03807</w:t>
            </w:r>
          </w:p>
          <w:p>
            <w:pPr>
              <w:pStyle w:val="33"/>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/J04954</w:t>
            </w:r>
          </w:p>
          <w:p>
            <w:pPr>
              <w:pStyle w:val="33"/>
              <w:kinsoku w:val="0"/>
              <w:overflowPunct w:val="0"/>
              <w:spacing w:before="12"/>
              <w:ind w:left="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北部湾银行专属份额：</w:t>
            </w: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lang w:val="en-US" w:eastAsia="zh-CN"/>
              </w:rPr>
              <w:t>北部湾银行专属</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lang w:val="en-US" w:eastAsia="zh-CN"/>
              </w:rPr>
              <w:t>/J07237</w:t>
            </w:r>
          </w:p>
          <w:p>
            <w:pPr>
              <w:pStyle w:val="33"/>
              <w:kinsoku w:val="0"/>
              <w:overflowPunct w:val="0"/>
              <w:spacing w:before="12"/>
              <w:ind w:left="3"/>
              <w:rPr>
                <w:rFonts w:hint="default"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P份额：</w:t>
            </w: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P/J07303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4"/>
              <w:rPr>
                <w:rFonts w:ascii="楷体" w:hAnsi="楷体" w:eastAsia="楷体" w:cs="宋体"/>
                <w:b/>
                <w:spacing w:val="-2"/>
                <w:sz w:val="21"/>
                <w:szCs w:val="21"/>
              </w:rPr>
            </w:pPr>
            <w:r>
              <w:rPr>
                <w:rFonts w:hint="eastAsia" w:ascii="楷体" w:hAnsi="楷体" w:eastAsia="楷体" w:cs="宋体"/>
                <w:b/>
                <w:spacing w:val="-2"/>
                <w:sz w:val="21"/>
                <w:szCs w:val="21"/>
              </w:rPr>
              <w:t>产品管理人</w:t>
            </w:r>
          </w:p>
        </w:tc>
        <w:tc>
          <w:tcPr>
            <w:tcW w:w="6468" w:type="dxa"/>
            <w:noWrap w:val="0"/>
            <w:vAlign w:val="center"/>
          </w:tcPr>
          <w:p>
            <w:pPr>
              <w:pStyle w:val="33"/>
              <w:kinsoku w:val="0"/>
              <w:overflowPunct w:val="0"/>
              <w:spacing w:before="12"/>
              <w:ind w:left="3"/>
              <w:rPr>
                <w:rFonts w:ascii="楷体" w:hAnsi="楷体" w:eastAsia="楷体" w:cs="宋体"/>
                <w:spacing w:val="-2"/>
                <w:sz w:val="21"/>
                <w:szCs w:val="21"/>
              </w:rPr>
            </w:pPr>
            <w:r>
              <w:rPr>
                <w:rFonts w:hint="eastAsia" w:ascii="楷体" w:hAnsi="楷体" w:eastAsia="楷体" w:cs="宋体"/>
                <w:spacing w:val="-2"/>
                <w:sz w:val="21"/>
                <w:szCs w:val="21"/>
              </w:rPr>
              <w:t>苏银理财有限责任公司，详见下文“二、产品管理人”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rPr>
                <w:rFonts w:ascii="楷体" w:hAnsi="楷体" w:eastAsia="楷体" w:cs="宋体"/>
                <w:b/>
                <w:spacing w:val="-2"/>
                <w:sz w:val="21"/>
                <w:szCs w:val="21"/>
              </w:rPr>
            </w:pPr>
            <w:r>
              <w:rPr>
                <w:rFonts w:hint="eastAsia" w:ascii="楷体" w:hAnsi="楷体" w:eastAsia="楷体" w:cs="宋体"/>
                <w:b/>
                <w:spacing w:val="-2"/>
                <w:sz w:val="21"/>
                <w:szCs w:val="21"/>
              </w:rPr>
              <w:t>产品托管人</w:t>
            </w:r>
          </w:p>
        </w:tc>
        <w:tc>
          <w:tcPr>
            <w:tcW w:w="6468" w:type="dxa"/>
            <w:noWrap w:val="0"/>
            <w:vAlign w:val="center"/>
          </w:tcPr>
          <w:p>
            <w:pPr>
              <w:pStyle w:val="33"/>
              <w:kinsoku w:val="0"/>
              <w:overflowPunct w:val="0"/>
              <w:spacing w:before="12"/>
              <w:ind w:left="3"/>
              <w:rPr>
                <w:rFonts w:ascii="楷体" w:hAnsi="楷体" w:eastAsia="楷体" w:cs="宋体"/>
                <w:spacing w:val="-2"/>
                <w:sz w:val="21"/>
                <w:szCs w:val="21"/>
              </w:rPr>
            </w:pPr>
            <w:r>
              <w:rPr>
                <w:rFonts w:hint="eastAsia" w:ascii="楷体" w:hAnsi="楷体" w:eastAsia="楷体" w:cs="宋体"/>
                <w:spacing w:val="-2"/>
                <w:sz w:val="21"/>
                <w:szCs w:val="21"/>
              </w:rPr>
              <w:t>江苏银行股份有限公司</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详见下文“十四、产品托管人”。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rPr>
                <w:rFonts w:hint="eastAsia" w:ascii="楷体" w:hAnsi="楷体" w:eastAsia="楷体" w:cs="宋体"/>
                <w:b/>
                <w:spacing w:val="-2"/>
                <w:sz w:val="21"/>
                <w:szCs w:val="21"/>
              </w:rPr>
            </w:pPr>
            <w:r>
              <w:rPr>
                <w:rFonts w:hint="eastAsia" w:ascii="楷体" w:hAnsi="楷体" w:eastAsia="楷体" w:cs="宋体"/>
                <w:b/>
                <w:spacing w:val="-2"/>
                <w:sz w:val="21"/>
                <w:szCs w:val="21"/>
              </w:rPr>
              <w:t>销售机构</w:t>
            </w:r>
          </w:p>
        </w:tc>
        <w:tc>
          <w:tcPr>
            <w:tcW w:w="6468" w:type="dxa"/>
            <w:noWrap w:val="0"/>
            <w:vAlign w:val="center"/>
          </w:tcPr>
          <w:p>
            <w:pPr>
              <w:pStyle w:val="33"/>
              <w:kinsoku w:val="0"/>
              <w:overflowPunct w:val="0"/>
              <w:spacing w:before="13"/>
              <w:ind w:left="4"/>
              <w:rPr>
                <w:rFonts w:hint="eastAsia" w:ascii="楷体" w:hAnsi="楷体" w:eastAsia="楷体" w:cs="宋体"/>
                <w:spacing w:val="-2"/>
                <w:sz w:val="21"/>
                <w:szCs w:val="21"/>
              </w:rPr>
            </w:pPr>
            <w:r>
              <w:rPr>
                <w:rFonts w:hint="eastAsia" w:ascii="楷体" w:hAnsi="楷体" w:eastAsia="楷体" w:cs="宋体"/>
                <w:spacing w:val="-2"/>
                <w:sz w:val="21"/>
                <w:szCs w:val="21"/>
              </w:rPr>
              <w:t>详见下文“三、销售机构”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ind w:left="4"/>
              <w:rPr>
                <w:rFonts w:ascii="楷体" w:hAnsi="楷体" w:eastAsia="楷体" w:cs="宋体"/>
                <w:b/>
                <w:spacing w:val="-2"/>
                <w:sz w:val="21"/>
                <w:szCs w:val="21"/>
              </w:rPr>
            </w:pPr>
            <w:r>
              <w:rPr>
                <w:rFonts w:hint="eastAsia" w:ascii="楷体" w:hAnsi="楷体" w:eastAsia="楷体" w:cs="宋体"/>
                <w:b/>
                <w:spacing w:val="-2"/>
                <w:sz w:val="21"/>
                <w:szCs w:val="21"/>
              </w:rPr>
              <w:t>产品内部风险评级</w:t>
            </w:r>
          </w:p>
        </w:tc>
        <w:tc>
          <w:tcPr>
            <w:tcW w:w="6468" w:type="dxa"/>
            <w:noWrap w:val="0"/>
            <w:vAlign w:val="center"/>
          </w:tcPr>
          <w:p>
            <w:pPr>
              <w:pStyle w:val="33"/>
              <w:kinsoku w:val="0"/>
              <w:overflowPunct w:val="0"/>
              <w:spacing w:before="13"/>
              <w:ind w:left="59" w:right="73" w:rightChars="35"/>
              <w:jc w:val="both"/>
              <w:rPr>
                <w:rFonts w:hint="eastAsia" w:ascii="楷体" w:hAnsi="楷体" w:eastAsia="楷体" w:cs="宋体"/>
                <w:b/>
                <w:spacing w:val="-2"/>
                <w:sz w:val="21"/>
                <w:szCs w:val="21"/>
                <w:u w:val="single"/>
              </w:rPr>
            </w:pPr>
            <w:r>
              <w:rPr>
                <w:rFonts w:hint="eastAsia" w:ascii="楷体" w:hAnsi="楷体" w:eastAsia="楷体" w:cs="宋体"/>
                <w:b/>
                <w:spacing w:val="-2"/>
                <w:sz w:val="21"/>
                <w:szCs w:val="21"/>
                <w:u w:val="single"/>
              </w:rPr>
              <w:t>1、★★二级，</w:t>
            </w:r>
            <w:r>
              <w:rPr>
                <w:rFonts w:hint="eastAsia" w:ascii="楷体" w:hAnsi="楷体" w:eastAsia="楷体" w:cs="宋体"/>
                <w:spacing w:val="-2"/>
                <w:sz w:val="21"/>
                <w:szCs w:val="21"/>
              </w:rPr>
              <w:t>本评级为苏银理财有限责任公司内部评级，由苏银理财根据理财产品的投资组合、同类产品过往业绩和风险状况等因素，对理财产品进行评级，仅供客户参考。</w:t>
            </w:r>
          </w:p>
          <w:p>
            <w:pPr>
              <w:pStyle w:val="33"/>
              <w:kinsoku w:val="0"/>
              <w:overflowPunct w:val="0"/>
              <w:spacing w:before="13"/>
              <w:ind w:left="59" w:right="73" w:rightChars="35"/>
              <w:jc w:val="both"/>
              <w:rPr>
                <w:rFonts w:hint="eastAsia" w:ascii="楷体" w:hAnsi="楷体" w:eastAsia="楷体" w:cs="宋体"/>
                <w:spacing w:val="-2"/>
                <w:sz w:val="21"/>
                <w:szCs w:val="21"/>
              </w:rPr>
            </w:pPr>
            <w:r>
              <w:rPr>
                <w:rFonts w:hint="eastAsia" w:ascii="楷体" w:hAnsi="楷体" w:eastAsia="楷体" w:cs="宋体"/>
                <w:spacing w:val="-2"/>
                <w:sz w:val="21"/>
                <w:szCs w:val="21"/>
              </w:rPr>
              <w:t>2、</w:t>
            </w:r>
            <w:r>
              <w:rPr>
                <w:rFonts w:hint="eastAsia" w:ascii="楷体" w:hAnsi="楷体" w:eastAsia="楷体" w:cs="宋体"/>
                <w:spacing w:val="-2"/>
                <w:sz w:val="21"/>
                <w:szCs w:val="21"/>
                <w:highlight w:val="none"/>
                <w:lang w:val="en-US" w:eastAsia="zh-CN"/>
              </w:rPr>
              <w:t>如</w:t>
            </w:r>
            <w:r>
              <w:rPr>
                <w:rFonts w:hint="eastAsia" w:ascii="楷体" w:hAnsi="楷体" w:eastAsia="楷体" w:cs="宋体"/>
                <w:spacing w:val="-2"/>
                <w:sz w:val="21"/>
                <w:szCs w:val="21"/>
                <w:highlight w:val="none"/>
              </w:rPr>
              <w:t>本产品</w:t>
            </w:r>
            <w:r>
              <w:rPr>
                <w:rFonts w:hint="eastAsia" w:ascii="楷体" w:hAnsi="楷体" w:eastAsia="楷体" w:cs="宋体"/>
                <w:spacing w:val="-2"/>
                <w:sz w:val="21"/>
                <w:szCs w:val="21"/>
                <w:highlight w:val="none"/>
                <w:lang w:val="en-US" w:eastAsia="zh-CN"/>
              </w:rPr>
              <w:t>通过</w:t>
            </w:r>
            <w:r>
              <w:rPr>
                <w:rFonts w:hint="eastAsia" w:ascii="楷体" w:hAnsi="楷体" w:eastAsia="楷体" w:cs="宋体"/>
                <w:spacing w:val="-2"/>
                <w:sz w:val="21"/>
                <w:szCs w:val="21"/>
                <w:highlight w:val="none"/>
              </w:rPr>
              <w:t>代理销售机构渠道</w:t>
            </w:r>
            <w:r>
              <w:rPr>
                <w:rFonts w:hint="eastAsia" w:ascii="楷体" w:hAnsi="楷体" w:eastAsia="楷体" w:cs="宋体"/>
                <w:spacing w:val="-2"/>
                <w:sz w:val="21"/>
                <w:szCs w:val="21"/>
                <w:highlight w:val="none"/>
                <w:lang w:val="en-US" w:eastAsia="zh-CN"/>
              </w:rPr>
              <w:t>销售,</w:t>
            </w:r>
            <w:r>
              <w:rPr>
                <w:rFonts w:hint="eastAsia" w:ascii="楷体" w:hAnsi="楷体" w:eastAsia="楷体" w:cs="宋体"/>
                <w:spacing w:val="-2"/>
                <w:sz w:val="21"/>
                <w:szCs w:val="21"/>
              </w:rPr>
              <w:t>代理销售机构应当根据本机构的方式和方法，依据理财产品的投资组合、同类产品过往业绩和风险状况等因素，独立、审慎地对代理销售的理财产品进行销售评级，并向苏银理财及时、准确提供本机构销售评级结果等信息。</w:t>
            </w:r>
            <w:r>
              <w:rPr>
                <w:rFonts w:ascii="楷体" w:hAnsi="楷体" w:eastAsia="楷体" w:cs="宋体"/>
                <w:spacing w:val="-2"/>
                <w:sz w:val="21"/>
                <w:szCs w:val="21"/>
              </w:rPr>
              <w:t>销售评级与</w:t>
            </w:r>
            <w:r>
              <w:rPr>
                <w:rFonts w:hint="eastAsia" w:ascii="楷体" w:hAnsi="楷体" w:eastAsia="楷体" w:cs="宋体"/>
                <w:spacing w:val="-2"/>
                <w:sz w:val="21"/>
                <w:szCs w:val="21"/>
              </w:rPr>
              <w:t>苏银理财</w:t>
            </w:r>
            <w:r>
              <w:rPr>
                <w:rFonts w:ascii="楷体" w:hAnsi="楷体" w:eastAsia="楷体" w:cs="宋体"/>
                <w:spacing w:val="-2"/>
                <w:sz w:val="21"/>
                <w:szCs w:val="21"/>
              </w:rPr>
              <w:t>产品评级结果不一致的，代理销售机构应当采用对应较高风险等级的评级结果并予以披露</w:t>
            </w:r>
            <w:r>
              <w:rPr>
                <w:rFonts w:hint="eastAsia" w:ascii="楷体" w:hAnsi="楷体" w:eastAsia="楷体" w:cs="宋体"/>
                <w:spacing w:val="-2"/>
                <w:sz w:val="21"/>
                <w:szCs w:val="21"/>
              </w:rPr>
              <w:t>。</w:t>
            </w:r>
          </w:p>
          <w:p>
            <w:pPr>
              <w:pStyle w:val="33"/>
              <w:kinsoku w:val="0"/>
              <w:overflowPunct w:val="0"/>
              <w:spacing w:before="13"/>
              <w:ind w:left="18"/>
              <w:rPr>
                <w:rFonts w:hint="eastAsia" w:ascii="楷体" w:hAnsi="楷体" w:eastAsia="楷体" w:cs="宋体"/>
                <w:b/>
                <w:spacing w:val="-2"/>
                <w:sz w:val="21"/>
                <w:szCs w:val="21"/>
                <w:u w:val="single"/>
              </w:rPr>
            </w:pPr>
            <w:r>
              <w:rPr>
                <w:rFonts w:hint="eastAsia" w:ascii="楷体" w:hAnsi="楷体" w:eastAsia="楷体" w:cs="宋体"/>
                <w:b/>
                <w:spacing w:val="-2"/>
                <w:sz w:val="21"/>
                <w:szCs w:val="21"/>
                <w:u w:val="single"/>
              </w:rPr>
              <w:t>3、</w:t>
            </w:r>
            <w:r>
              <w:rPr>
                <w:rFonts w:hint="eastAsia" w:ascii="楷体" w:hAnsi="楷体" w:eastAsia="楷体" w:cs="宋体"/>
                <w:b/>
                <w:spacing w:val="-2"/>
                <w:sz w:val="21"/>
                <w:szCs w:val="21"/>
                <w:highlight w:val="none"/>
                <w:u w:val="single"/>
                <w:lang w:val="en-US" w:eastAsia="zh-CN"/>
              </w:rPr>
              <w:t>如本</w:t>
            </w:r>
            <w:r>
              <w:rPr>
                <w:rFonts w:hint="eastAsia" w:ascii="楷体" w:hAnsi="楷体" w:eastAsia="楷体" w:cs="宋体"/>
                <w:b/>
                <w:spacing w:val="-2"/>
                <w:sz w:val="21"/>
                <w:szCs w:val="21"/>
                <w:highlight w:val="none"/>
                <w:u w:val="single"/>
              </w:rPr>
              <w:t>产品</w:t>
            </w:r>
            <w:r>
              <w:rPr>
                <w:rFonts w:ascii="楷体" w:hAnsi="楷体" w:eastAsia="楷体" w:cs="宋体"/>
                <w:b/>
                <w:spacing w:val="-2"/>
                <w:sz w:val="21"/>
                <w:szCs w:val="21"/>
                <w:highlight w:val="none"/>
                <w:u w:val="single"/>
              </w:rPr>
              <w:t>通过代理销售机构渠道销售</w:t>
            </w:r>
            <w:r>
              <w:rPr>
                <w:rFonts w:ascii="楷体" w:hAnsi="楷体" w:eastAsia="楷体" w:cs="宋体"/>
                <w:b/>
                <w:spacing w:val="-2"/>
                <w:sz w:val="21"/>
                <w:szCs w:val="21"/>
                <w:u w:val="single"/>
              </w:rPr>
              <w:t>，理财产品评级</w:t>
            </w:r>
            <w:r>
              <w:rPr>
                <w:rFonts w:hint="eastAsia" w:ascii="楷体" w:hAnsi="楷体" w:eastAsia="楷体" w:cs="宋体"/>
                <w:b/>
                <w:spacing w:val="-2"/>
                <w:sz w:val="21"/>
                <w:szCs w:val="21"/>
                <w:u w:val="single"/>
              </w:rPr>
              <w:t>以</w:t>
            </w:r>
            <w:r>
              <w:rPr>
                <w:rFonts w:ascii="楷体" w:hAnsi="楷体" w:eastAsia="楷体" w:cs="宋体"/>
                <w:b/>
                <w:spacing w:val="-2"/>
                <w:sz w:val="21"/>
                <w:szCs w:val="21"/>
                <w:u w:val="single"/>
              </w:rPr>
              <w:t>代理销售机构最终披露的评级结果为准</w:t>
            </w:r>
            <w:r>
              <w:rPr>
                <w:rFonts w:hint="eastAsia" w:ascii="楷体" w:hAnsi="楷体" w:eastAsia="楷体" w:cs="宋体"/>
                <w:b/>
                <w:spacing w:val="-2"/>
                <w:sz w:val="21"/>
                <w:szCs w:val="21"/>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ascii="楷体" w:hAnsi="楷体" w:eastAsia="楷体" w:cs="宋体"/>
                <w:b/>
                <w:spacing w:val="-2"/>
                <w:sz w:val="21"/>
                <w:szCs w:val="21"/>
              </w:rPr>
            </w:pPr>
            <w:r>
              <w:rPr>
                <w:rFonts w:hint="eastAsia" w:ascii="楷体" w:hAnsi="楷体" w:eastAsia="楷体" w:cs="宋体"/>
                <w:b/>
                <w:spacing w:val="-2"/>
                <w:sz w:val="21"/>
                <w:szCs w:val="21"/>
              </w:rPr>
              <w:t>收益类型</w:t>
            </w:r>
          </w:p>
        </w:tc>
        <w:tc>
          <w:tcPr>
            <w:tcW w:w="6468" w:type="dxa"/>
            <w:noWrap w:val="0"/>
            <w:vAlign w:val="center"/>
          </w:tcPr>
          <w:p>
            <w:pPr>
              <w:pStyle w:val="33"/>
              <w:kinsoku w:val="0"/>
              <w:overflowPunct w:val="0"/>
              <w:spacing w:before="12"/>
              <w:ind w:left="9"/>
              <w:rPr>
                <w:rFonts w:ascii="楷体" w:hAnsi="楷体" w:eastAsia="楷体" w:cs="宋体"/>
                <w:spacing w:val="-2"/>
                <w:sz w:val="21"/>
                <w:szCs w:val="21"/>
              </w:rPr>
            </w:pPr>
            <w:r>
              <w:rPr>
                <w:rFonts w:hint="eastAsia" w:ascii="楷体" w:hAnsi="楷体" w:eastAsia="楷体" w:cs="宋体"/>
                <w:spacing w:val="-2"/>
                <w:sz w:val="21"/>
                <w:szCs w:val="21"/>
              </w:rPr>
              <w:t>净值型（非保本浮动收益）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rPr>
                <w:rFonts w:hint="eastAsia" w:ascii="楷体" w:hAnsi="楷体" w:eastAsia="楷体" w:cs="宋体"/>
                <w:b/>
                <w:spacing w:val="-2"/>
                <w:sz w:val="21"/>
                <w:szCs w:val="21"/>
              </w:rPr>
            </w:pPr>
            <w:r>
              <w:rPr>
                <w:rFonts w:hint="eastAsia" w:ascii="楷体" w:hAnsi="楷体" w:eastAsia="楷体" w:cs="宋体"/>
                <w:b/>
                <w:spacing w:val="-2"/>
                <w:sz w:val="21"/>
                <w:szCs w:val="21"/>
              </w:rPr>
              <w:t>产品类型</w:t>
            </w:r>
          </w:p>
        </w:tc>
        <w:tc>
          <w:tcPr>
            <w:tcW w:w="6468" w:type="dxa"/>
            <w:noWrap w:val="0"/>
            <w:vAlign w:val="center"/>
          </w:tcPr>
          <w:p>
            <w:pPr>
              <w:pStyle w:val="33"/>
              <w:kinsoku w:val="0"/>
              <w:overflowPunct w:val="0"/>
              <w:spacing w:before="12"/>
              <w:ind w:left="9"/>
              <w:rPr>
                <w:rFonts w:hint="eastAsia" w:ascii="楷体" w:hAnsi="楷体" w:eastAsia="楷体" w:cs="宋体"/>
                <w:b/>
                <w:spacing w:val="-2"/>
                <w:sz w:val="21"/>
                <w:szCs w:val="21"/>
                <w:u w:val="single"/>
              </w:rPr>
            </w:pPr>
            <w:r>
              <w:rPr>
                <w:rFonts w:hint="eastAsia" w:ascii="楷体" w:hAnsi="楷体" w:eastAsia="楷体" w:cs="宋体"/>
                <w:b/>
                <w:spacing w:val="-2"/>
                <w:sz w:val="21"/>
                <w:szCs w:val="21"/>
                <w:u w:val="single"/>
              </w:rPr>
              <w:t>固定收益类、公募、开放式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rPr>
                <w:rFonts w:ascii="楷体" w:hAnsi="楷体" w:eastAsia="楷体" w:cs="宋体"/>
                <w:b/>
                <w:spacing w:val="-2"/>
                <w:sz w:val="21"/>
                <w:szCs w:val="21"/>
              </w:rPr>
            </w:pPr>
            <w:r>
              <w:rPr>
                <w:rFonts w:hint="eastAsia" w:ascii="楷体" w:hAnsi="楷体" w:eastAsia="楷体" w:cs="宋体"/>
                <w:b/>
                <w:spacing w:val="-2"/>
                <w:sz w:val="21"/>
                <w:szCs w:val="21"/>
              </w:rPr>
              <w:t>销售对象</w:t>
            </w:r>
          </w:p>
        </w:tc>
        <w:tc>
          <w:tcPr>
            <w:tcW w:w="6468" w:type="dxa"/>
            <w:noWrap w:val="0"/>
            <w:vAlign w:val="center"/>
          </w:tcPr>
          <w:p>
            <w:pPr>
              <w:pStyle w:val="33"/>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rPr>
              <w:t>芙蓉锦程·优选份额面向个人和机构投资者销售</w:t>
            </w:r>
            <w:r>
              <w:rPr>
                <w:rFonts w:hint="eastAsia" w:ascii="楷体" w:hAnsi="楷体" w:eastAsia="楷体" w:cs="宋体"/>
                <w:spacing w:val="-2"/>
                <w:sz w:val="21"/>
                <w:szCs w:val="21"/>
                <w:lang w:val="en-US" w:eastAsia="zh-CN"/>
              </w:rPr>
              <w:t>;</w:t>
            </w:r>
          </w:p>
          <w:p>
            <w:pPr>
              <w:pStyle w:val="33"/>
              <w:kinsoku w:val="0"/>
              <w:overflowPunct w:val="0"/>
              <w:spacing w:before="12"/>
              <w:ind w:left="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Z</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3"/>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lang w:val="en-US" w:eastAsia="zh-CN"/>
              </w:rPr>
              <w:t>Q</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3"/>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lang w:val="en-US" w:eastAsia="zh-CN"/>
              </w:rPr>
              <w:t>JS</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3"/>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3"/>
              <w:kinsoku w:val="0"/>
              <w:overflowPunct w:val="0"/>
              <w:spacing w:before="12"/>
              <w:ind w:left="3"/>
              <w:rPr>
                <w:rFonts w:hint="eastAsia" w:ascii="楷体" w:hAnsi="楷体" w:eastAsia="楷体" w:cs="宋体"/>
                <w:spacing w:val="-2"/>
                <w:sz w:val="21"/>
                <w:szCs w:val="21"/>
                <w:lang w:eastAsia="zh-CN"/>
              </w:rPr>
            </w:pPr>
            <w:r>
              <w:rPr>
                <w:rFonts w:hint="eastAsia" w:ascii="楷体" w:hAnsi="楷体" w:eastAsia="楷体" w:cs="宋体"/>
                <w:spacing w:val="-2"/>
                <w:sz w:val="21"/>
                <w:szCs w:val="21"/>
                <w:lang w:val="en-US" w:eastAsia="zh-CN"/>
              </w:rPr>
              <w:t>北部湾银行专属</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p>
            <w:pPr>
              <w:pStyle w:val="33"/>
              <w:kinsoku w:val="0"/>
              <w:overflowPunct w:val="0"/>
              <w:spacing w:before="12"/>
              <w:ind w:left="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P</w:t>
            </w:r>
            <w:r>
              <w:rPr>
                <w:rFonts w:hint="eastAsia" w:ascii="楷体" w:hAnsi="楷体" w:eastAsia="楷体" w:cs="宋体"/>
                <w:spacing w:val="-2"/>
                <w:sz w:val="21"/>
                <w:szCs w:val="21"/>
              </w:rPr>
              <w:t>份额面向个人和机构投资者销售</w:t>
            </w:r>
            <w:r>
              <w:rPr>
                <w:rFonts w:hint="eastAsia" w:ascii="楷体" w:hAnsi="楷体" w:eastAsia="楷体" w:cs="宋体"/>
                <w:spacing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ascii="楷体" w:hAnsi="楷体" w:eastAsia="楷体" w:cs="宋体"/>
                <w:b/>
                <w:spacing w:val="-2"/>
                <w:sz w:val="21"/>
                <w:szCs w:val="21"/>
              </w:rPr>
            </w:pPr>
            <w:r>
              <w:rPr>
                <w:rFonts w:hint="eastAsia" w:ascii="楷体" w:hAnsi="楷体" w:eastAsia="楷体" w:cs="宋体"/>
                <w:b/>
                <w:spacing w:val="-2"/>
                <w:sz w:val="21"/>
                <w:szCs w:val="21"/>
              </w:rPr>
              <w:t>购买起点</w:t>
            </w:r>
            <w:r>
              <w:rPr>
                <w:rFonts w:ascii="楷体" w:hAnsi="楷体" w:eastAsia="楷体" w:cs="宋体"/>
                <w:b/>
                <w:spacing w:val="-2"/>
                <w:sz w:val="21"/>
                <w:szCs w:val="21"/>
              </w:rPr>
              <w:t>/</w:t>
            </w:r>
            <w:r>
              <w:rPr>
                <w:rFonts w:hint="eastAsia" w:ascii="楷体" w:hAnsi="楷体" w:eastAsia="楷体" w:cs="宋体"/>
                <w:b/>
                <w:spacing w:val="-2"/>
                <w:sz w:val="21"/>
                <w:szCs w:val="21"/>
              </w:rPr>
              <w:t>追加金额</w:t>
            </w:r>
          </w:p>
        </w:tc>
        <w:tc>
          <w:tcPr>
            <w:tcW w:w="6468" w:type="dxa"/>
            <w:noWrap w:val="0"/>
            <w:vAlign w:val="center"/>
          </w:tcPr>
          <w:p>
            <w:pPr>
              <w:jc w:val="left"/>
              <w:rPr>
                <w:rFonts w:hint="eastAsia" w:ascii="楷体" w:hAnsi="楷体" w:eastAsia="楷体"/>
                <w:szCs w:val="21"/>
              </w:rPr>
            </w:pPr>
            <w:r>
              <w:rPr>
                <w:rFonts w:hint="eastAsia" w:ascii="楷体" w:hAnsi="楷体" w:eastAsia="楷体" w:cs="宋体"/>
                <w:spacing w:val="-2"/>
                <w:sz w:val="21"/>
                <w:szCs w:val="21"/>
              </w:rPr>
              <w:t>芙蓉锦程·优选份额</w:t>
            </w:r>
            <w:r>
              <w:rPr>
                <w:rFonts w:hint="eastAsia" w:ascii="楷体" w:hAnsi="楷体" w:eastAsia="楷体"/>
                <w:szCs w:val="21"/>
              </w:rPr>
              <w:t>购买起点金额为1元，追加金额为1元的整数倍；</w:t>
            </w:r>
          </w:p>
          <w:p>
            <w:pPr>
              <w:jc w:val="left"/>
              <w:rPr>
                <w:rFonts w:hint="eastAsia" w:ascii="楷体" w:hAnsi="楷体" w:eastAsia="楷体"/>
                <w:szCs w:val="21"/>
              </w:rPr>
            </w:pPr>
            <w:r>
              <w:rPr>
                <w:rFonts w:hint="eastAsia" w:ascii="楷体" w:hAnsi="楷体" w:eastAsia="楷体" w:cs="宋体"/>
                <w:spacing w:val="-2"/>
                <w:szCs w:val="21"/>
                <w:lang w:val="en-US" w:eastAsia="zh-CN"/>
              </w:rPr>
              <w:t>Z</w:t>
            </w:r>
            <w:r>
              <w:rPr>
                <w:rFonts w:hint="eastAsia" w:ascii="楷体" w:hAnsi="楷体" w:eastAsia="楷体" w:cs="宋体"/>
                <w:spacing w:val="-2"/>
                <w:szCs w:val="21"/>
              </w:rPr>
              <w:t>份额</w:t>
            </w:r>
            <w:r>
              <w:rPr>
                <w:rFonts w:hint="eastAsia" w:ascii="楷体" w:hAnsi="楷体" w:eastAsia="楷体"/>
                <w:szCs w:val="21"/>
              </w:rPr>
              <w:t>购买起点金额为1元，追加金额为1元的整数倍；</w:t>
            </w:r>
          </w:p>
          <w:p>
            <w:pPr>
              <w:jc w:val="left"/>
              <w:rPr>
                <w:rFonts w:hint="eastAsia" w:ascii="楷体" w:hAnsi="楷体" w:eastAsia="楷体"/>
                <w:szCs w:val="21"/>
                <w:lang w:eastAsia="zh-CN"/>
              </w:rPr>
            </w:pPr>
            <w:r>
              <w:rPr>
                <w:rFonts w:hint="eastAsia" w:ascii="楷体" w:hAnsi="楷体" w:eastAsia="楷体" w:cs="宋体"/>
                <w:spacing w:val="-2"/>
                <w:szCs w:val="21"/>
                <w:lang w:val="en-US" w:eastAsia="zh-CN"/>
              </w:rPr>
              <w:t>Q</w:t>
            </w:r>
            <w:r>
              <w:rPr>
                <w:rFonts w:hint="eastAsia" w:ascii="楷体" w:hAnsi="楷体" w:eastAsia="楷体" w:cs="宋体"/>
                <w:spacing w:val="-2"/>
                <w:szCs w:val="21"/>
              </w:rPr>
              <w:t>份额</w:t>
            </w:r>
            <w:r>
              <w:rPr>
                <w:rFonts w:hint="eastAsia" w:ascii="楷体" w:hAnsi="楷体" w:eastAsia="楷体"/>
                <w:szCs w:val="21"/>
              </w:rPr>
              <w:t>购买起点金额为1元，追加金额为1元的整数倍；</w:t>
            </w:r>
          </w:p>
          <w:p>
            <w:pPr>
              <w:jc w:val="left"/>
              <w:rPr>
                <w:rFonts w:hint="eastAsia" w:ascii="楷体" w:hAnsi="楷体" w:eastAsia="楷体"/>
                <w:szCs w:val="21"/>
                <w:lang w:eastAsia="zh-CN"/>
              </w:rPr>
            </w:pPr>
            <w:r>
              <w:rPr>
                <w:rFonts w:hint="eastAsia" w:ascii="楷体" w:hAnsi="楷体" w:eastAsia="楷体" w:cs="宋体"/>
                <w:spacing w:val="-2"/>
                <w:szCs w:val="21"/>
                <w:lang w:val="en-US" w:eastAsia="zh-CN"/>
              </w:rPr>
              <w:t>JS</w:t>
            </w:r>
            <w:r>
              <w:rPr>
                <w:rFonts w:hint="eastAsia" w:ascii="楷体" w:hAnsi="楷体" w:eastAsia="楷体" w:cs="宋体"/>
                <w:spacing w:val="-2"/>
                <w:szCs w:val="21"/>
              </w:rPr>
              <w:t>份额</w:t>
            </w:r>
            <w:r>
              <w:rPr>
                <w:rFonts w:hint="eastAsia" w:ascii="楷体" w:hAnsi="楷体" w:eastAsia="楷体"/>
                <w:szCs w:val="21"/>
              </w:rPr>
              <w:t>购买起点金额为1元，追加金额为1元的整数倍；</w:t>
            </w:r>
          </w:p>
          <w:p>
            <w:pPr>
              <w:jc w:val="left"/>
              <w:rPr>
                <w:rFonts w:hint="eastAsia" w:ascii="楷体" w:hAnsi="楷体" w:eastAsia="楷体"/>
                <w:szCs w:val="21"/>
                <w:lang w:eastAsia="zh-CN"/>
              </w:rPr>
            </w:pP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w:t>
            </w:r>
            <w:r>
              <w:rPr>
                <w:rFonts w:hint="eastAsia" w:ascii="楷体" w:hAnsi="楷体" w:eastAsia="楷体"/>
                <w:szCs w:val="21"/>
              </w:rPr>
              <w:t>购买起点金额为1元，追加金额为1元的整数倍；</w:t>
            </w:r>
          </w:p>
          <w:p>
            <w:pPr>
              <w:jc w:val="left"/>
              <w:rPr>
                <w:rFonts w:hint="eastAsia" w:ascii="楷体" w:hAnsi="楷体" w:eastAsia="楷体"/>
                <w:szCs w:val="21"/>
                <w:lang w:eastAsia="zh-CN"/>
              </w:rPr>
            </w:pPr>
            <w:r>
              <w:rPr>
                <w:rFonts w:hint="eastAsia" w:ascii="楷体" w:hAnsi="楷体" w:eastAsia="楷体" w:cs="宋体"/>
                <w:spacing w:val="-2"/>
                <w:sz w:val="21"/>
                <w:szCs w:val="21"/>
                <w:lang w:val="en-US" w:eastAsia="zh-CN"/>
              </w:rPr>
              <w:t>北部湾银行专属</w:t>
            </w:r>
            <w:r>
              <w:rPr>
                <w:rFonts w:hint="eastAsia" w:ascii="楷体" w:hAnsi="楷体" w:eastAsia="楷体" w:cs="宋体"/>
                <w:spacing w:val="-2"/>
                <w:szCs w:val="21"/>
              </w:rPr>
              <w:t>份额</w:t>
            </w:r>
            <w:r>
              <w:rPr>
                <w:rFonts w:hint="eastAsia" w:ascii="楷体" w:hAnsi="楷体" w:eastAsia="楷体"/>
                <w:szCs w:val="21"/>
              </w:rPr>
              <w:t>购买起点金额为</w:t>
            </w:r>
            <w:r>
              <w:rPr>
                <w:rFonts w:hint="eastAsia" w:ascii="楷体" w:hAnsi="楷体" w:eastAsia="楷体"/>
                <w:szCs w:val="21"/>
                <w:lang w:val="en-US" w:eastAsia="zh-CN"/>
              </w:rPr>
              <w:t>0.01</w:t>
            </w:r>
            <w:r>
              <w:rPr>
                <w:rFonts w:hint="eastAsia" w:ascii="楷体" w:hAnsi="楷体" w:eastAsia="楷体"/>
                <w:szCs w:val="21"/>
              </w:rPr>
              <w:t>元，追加金额为</w:t>
            </w:r>
            <w:r>
              <w:rPr>
                <w:rFonts w:hint="eastAsia" w:ascii="楷体" w:hAnsi="楷体" w:eastAsia="楷体"/>
                <w:szCs w:val="21"/>
                <w:lang w:val="en-US" w:eastAsia="zh-CN"/>
              </w:rPr>
              <w:t>0.01</w:t>
            </w:r>
            <w:r>
              <w:rPr>
                <w:rFonts w:hint="eastAsia" w:ascii="楷体" w:hAnsi="楷体" w:eastAsia="楷体"/>
                <w:szCs w:val="21"/>
              </w:rPr>
              <w:t>元的整数倍；</w:t>
            </w:r>
          </w:p>
          <w:p>
            <w:pPr>
              <w:jc w:val="left"/>
              <w:rPr>
                <w:rFonts w:hint="eastAsia" w:ascii="楷体" w:hAnsi="楷体" w:eastAsia="楷体"/>
                <w:szCs w:val="21"/>
                <w:lang w:val="en-US" w:eastAsia="zh-CN"/>
              </w:rPr>
            </w:pPr>
            <w:r>
              <w:rPr>
                <w:rFonts w:hint="eastAsia" w:ascii="楷体" w:hAnsi="楷体" w:eastAsia="楷体" w:cs="宋体"/>
                <w:spacing w:val="-2"/>
                <w:szCs w:val="21"/>
                <w:lang w:val="en-US" w:eastAsia="zh-CN"/>
              </w:rPr>
              <w:t>P</w:t>
            </w:r>
            <w:r>
              <w:rPr>
                <w:rFonts w:hint="eastAsia" w:ascii="楷体" w:hAnsi="楷体" w:eastAsia="楷体" w:cs="宋体"/>
                <w:spacing w:val="-2"/>
                <w:szCs w:val="21"/>
              </w:rPr>
              <w:t>份额</w:t>
            </w:r>
            <w:r>
              <w:rPr>
                <w:rFonts w:hint="eastAsia" w:ascii="楷体" w:hAnsi="楷体" w:eastAsia="楷体"/>
                <w:szCs w:val="21"/>
              </w:rPr>
              <w:t>购买起点金额为</w:t>
            </w:r>
            <w:r>
              <w:rPr>
                <w:rFonts w:hint="eastAsia" w:ascii="楷体" w:hAnsi="楷体" w:eastAsia="楷体"/>
                <w:szCs w:val="21"/>
                <w:lang w:val="en-US" w:eastAsia="zh-CN"/>
              </w:rPr>
              <w:t>20万</w:t>
            </w:r>
            <w:r>
              <w:rPr>
                <w:rFonts w:hint="eastAsia" w:ascii="楷体" w:hAnsi="楷体" w:eastAsia="楷体"/>
                <w:szCs w:val="21"/>
              </w:rPr>
              <w:t>元，追加金额为1</w:t>
            </w:r>
            <w:r>
              <w:rPr>
                <w:rFonts w:hint="eastAsia" w:ascii="楷体" w:hAnsi="楷体" w:eastAsia="楷体"/>
                <w:szCs w:val="21"/>
                <w:lang w:val="en-US" w:eastAsia="zh-CN"/>
              </w:rPr>
              <w:t>万</w:t>
            </w:r>
            <w:r>
              <w:rPr>
                <w:rFonts w:hint="eastAsia" w:ascii="楷体" w:hAnsi="楷体" w:eastAsia="楷体"/>
                <w:szCs w:val="21"/>
              </w:rPr>
              <w:t>元的整数倍</w:t>
            </w:r>
            <w:r>
              <w:rPr>
                <w:rFonts w:hint="eastAsia" w:ascii="楷体" w:hAnsi="楷体" w:eastAsia="楷体"/>
                <w:szCs w:val="21"/>
                <w:lang w:eastAsia="zh-CN"/>
              </w:rPr>
              <w:t>。</w:t>
            </w:r>
          </w:p>
          <w:p>
            <w:pPr>
              <w:jc w:val="left"/>
              <w:rPr>
                <w:rFonts w:hint="eastAsia" w:ascii="楷体" w:hAnsi="楷体" w:eastAsia="楷体"/>
                <w:szCs w:val="21"/>
              </w:rPr>
            </w:pPr>
            <w:r>
              <w:rPr>
                <w:rFonts w:hint="eastAsia" w:ascii="楷体" w:hAnsi="楷体" w:eastAsia="楷体"/>
                <w:szCs w:val="21"/>
                <w:lang w:val="en-US" w:eastAsia="zh-CN"/>
              </w:rPr>
              <w:t>购买</w:t>
            </w:r>
            <w:r>
              <w:rPr>
                <w:rFonts w:hint="eastAsia" w:ascii="楷体" w:hAnsi="楷体" w:eastAsia="楷体"/>
                <w:szCs w:val="21"/>
              </w:rPr>
              <w:t>起点/追加金额具体以</w:t>
            </w:r>
            <w:r>
              <w:rPr>
                <w:rFonts w:hint="eastAsia" w:ascii="楷体" w:hAnsi="楷体" w:eastAsia="楷体"/>
                <w:szCs w:val="21"/>
                <w:lang w:val="en-US" w:eastAsia="zh-CN"/>
              </w:rPr>
              <w:t>销售</w:t>
            </w:r>
            <w:r>
              <w:rPr>
                <w:rFonts w:hint="eastAsia" w:ascii="楷体" w:hAnsi="楷体" w:eastAsia="楷体"/>
                <w:szCs w:val="21"/>
              </w:rPr>
              <w:t>机构设置为准。认购资金的清算和认购份额的计算详见下文“八、产品认购”。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ind w:left="83" w:right="65" w:rightChars="31"/>
              <w:jc w:val="both"/>
              <w:rPr>
                <w:rFonts w:hint="eastAsia" w:ascii="楷体" w:hAnsi="楷体" w:eastAsia="楷体" w:cs="宋体"/>
                <w:b/>
                <w:spacing w:val="-2"/>
                <w:sz w:val="21"/>
                <w:szCs w:val="21"/>
              </w:rPr>
            </w:pPr>
            <w:r>
              <w:rPr>
                <w:rFonts w:hint="eastAsia" w:ascii="楷体" w:hAnsi="楷体" w:eastAsia="楷体" w:cs="宋体"/>
                <w:b/>
                <w:spacing w:val="-2"/>
                <w:sz w:val="21"/>
                <w:szCs w:val="21"/>
              </w:rPr>
              <w:t>单一投资者单日累计认</w:t>
            </w:r>
            <w:r>
              <w:rPr>
                <w:rFonts w:hint="eastAsia" w:ascii="楷体" w:hAnsi="楷体" w:eastAsia="楷体" w:cs="宋体"/>
                <w:b/>
                <w:spacing w:val="-2"/>
                <w:sz w:val="21"/>
                <w:szCs w:val="21"/>
                <w:lang w:val="en-US" w:eastAsia="zh-CN"/>
              </w:rPr>
              <w:t>购</w:t>
            </w:r>
            <w:r>
              <w:rPr>
                <w:rFonts w:hint="eastAsia" w:ascii="楷体" w:hAnsi="楷体" w:eastAsia="楷体" w:cs="宋体"/>
                <w:b/>
                <w:spacing w:val="-2"/>
                <w:sz w:val="21"/>
                <w:szCs w:val="21"/>
              </w:rPr>
              <w:t>/申购上限</w:t>
            </w:r>
          </w:p>
        </w:tc>
        <w:tc>
          <w:tcPr>
            <w:tcW w:w="6468" w:type="dxa"/>
            <w:noWrap w:val="0"/>
            <w:vAlign w:val="center"/>
          </w:tcPr>
          <w:p>
            <w:pPr>
              <w:pStyle w:val="33"/>
              <w:kinsoku w:val="0"/>
              <w:overflowPunct w:val="0"/>
              <w:spacing w:before="12"/>
              <w:ind w:right="115" w:rightChars="55"/>
              <w:jc w:val="both"/>
              <w:rPr>
                <w:rFonts w:hint="eastAsia" w:ascii="楷体" w:hAnsi="楷体" w:eastAsia="楷体" w:cs="宋体"/>
                <w:spacing w:val="-2"/>
                <w:sz w:val="21"/>
                <w:szCs w:val="21"/>
              </w:rPr>
            </w:pPr>
            <w:r>
              <w:rPr>
                <w:rFonts w:hint="eastAsia" w:ascii="楷体" w:hAnsi="楷体" w:eastAsia="楷体" w:cs="宋体"/>
                <w:spacing w:val="-2"/>
                <w:sz w:val="21"/>
                <w:szCs w:val="21"/>
              </w:rPr>
              <w:t>暂无</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超过</w:t>
            </w:r>
            <w:r>
              <w:rPr>
                <w:rFonts w:hint="eastAsia" w:ascii="楷体" w:hAnsi="楷体" w:eastAsia="楷体" w:cs="宋体"/>
                <w:spacing w:val="-2"/>
                <w:sz w:val="21"/>
                <w:szCs w:val="21"/>
                <w:lang w:val="en-US" w:eastAsia="zh-CN"/>
              </w:rPr>
              <w:t>单一投资者</w:t>
            </w:r>
            <w:r>
              <w:rPr>
                <w:rFonts w:hint="eastAsia" w:ascii="楷体" w:hAnsi="楷体" w:eastAsia="楷体" w:cs="宋体"/>
                <w:spacing w:val="-2"/>
                <w:sz w:val="21"/>
                <w:szCs w:val="21"/>
              </w:rPr>
              <w:t>单日累计认</w:t>
            </w:r>
            <w:r>
              <w:rPr>
                <w:rFonts w:hint="eastAsia" w:ascii="楷体" w:hAnsi="楷体" w:eastAsia="楷体" w:cs="宋体"/>
                <w:spacing w:val="-2"/>
                <w:sz w:val="21"/>
                <w:szCs w:val="21"/>
                <w:lang w:val="en-US" w:eastAsia="zh-CN"/>
              </w:rPr>
              <w:t>购</w:t>
            </w:r>
            <w:r>
              <w:rPr>
                <w:rFonts w:hint="eastAsia" w:ascii="楷体" w:hAnsi="楷体" w:eastAsia="楷体" w:cs="宋体"/>
                <w:spacing w:val="-2"/>
                <w:sz w:val="21"/>
                <w:szCs w:val="21"/>
              </w:rPr>
              <w:t>/申购上限时，</w:t>
            </w:r>
            <w:r>
              <w:rPr>
                <w:rFonts w:hint="eastAsia" w:ascii="楷体" w:hAnsi="楷体" w:eastAsia="楷体" w:cs="宋体"/>
                <w:spacing w:val="-2"/>
                <w:sz w:val="21"/>
                <w:szCs w:val="21"/>
                <w:lang w:val="en-US" w:eastAsia="zh-CN"/>
              </w:rPr>
              <w:t>管理人有权</w:t>
            </w:r>
            <w:r>
              <w:rPr>
                <w:rFonts w:hint="eastAsia" w:ascii="楷体" w:hAnsi="楷体" w:eastAsia="楷体" w:cs="宋体"/>
                <w:spacing w:val="-2"/>
                <w:sz w:val="21"/>
                <w:szCs w:val="21"/>
              </w:rPr>
              <w:t>拒绝投资者的认</w:t>
            </w:r>
            <w:r>
              <w:rPr>
                <w:rFonts w:hint="eastAsia" w:ascii="楷体" w:hAnsi="楷体" w:eastAsia="楷体" w:cs="宋体"/>
                <w:spacing w:val="-2"/>
                <w:sz w:val="21"/>
                <w:szCs w:val="21"/>
                <w:lang w:val="en-US" w:eastAsia="zh-CN"/>
              </w:rPr>
              <w:t>购</w:t>
            </w:r>
            <w:r>
              <w:rPr>
                <w:rFonts w:hint="eastAsia" w:ascii="楷体" w:hAnsi="楷体" w:eastAsia="楷体" w:cs="宋体"/>
                <w:spacing w:val="-2"/>
                <w:sz w:val="21"/>
                <w:szCs w:val="21"/>
              </w:rPr>
              <w:t>/申购申请。产品存续期</w:t>
            </w:r>
            <w:r>
              <w:rPr>
                <w:rFonts w:ascii="楷体" w:hAnsi="楷体" w:eastAsia="楷体" w:cs="宋体"/>
                <w:spacing w:val="-2"/>
                <w:sz w:val="21"/>
                <w:szCs w:val="21"/>
              </w:rPr>
              <w:t>内管理人有权根据实际情况调整</w:t>
            </w:r>
            <w:r>
              <w:rPr>
                <w:rFonts w:hint="eastAsia" w:ascii="楷体" w:hAnsi="楷体" w:eastAsia="楷体" w:cs="宋体"/>
                <w:spacing w:val="-2"/>
                <w:sz w:val="21"/>
                <w:szCs w:val="21"/>
              </w:rPr>
              <w:t>单日累计认</w:t>
            </w:r>
            <w:r>
              <w:rPr>
                <w:rFonts w:hint="eastAsia" w:ascii="楷体" w:hAnsi="楷体" w:eastAsia="楷体" w:cs="宋体"/>
                <w:spacing w:val="-2"/>
                <w:sz w:val="21"/>
                <w:szCs w:val="21"/>
                <w:lang w:val="en-US" w:eastAsia="zh-CN"/>
              </w:rPr>
              <w:t>购</w:t>
            </w:r>
            <w:r>
              <w:rPr>
                <w:rFonts w:hint="eastAsia" w:ascii="楷体" w:hAnsi="楷体" w:eastAsia="楷体" w:cs="宋体"/>
                <w:spacing w:val="-2"/>
                <w:sz w:val="21"/>
                <w:szCs w:val="21"/>
              </w:rPr>
              <w:t>/申购上限。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55" w:leftChars="0"/>
              <w:jc w:val="both"/>
              <w:rPr>
                <w:rFonts w:hint="eastAsia" w:ascii="楷体" w:hAnsi="楷体" w:eastAsia="楷体" w:cs="宋体"/>
                <w:b/>
                <w:spacing w:val="-2"/>
                <w:sz w:val="21"/>
                <w:szCs w:val="21"/>
                <w:highlight w:val="none"/>
              </w:rPr>
            </w:pPr>
            <w:r>
              <w:rPr>
                <w:rFonts w:hint="eastAsia" w:ascii="楷体" w:hAnsi="楷体" w:eastAsia="楷体" w:cs="宋体"/>
                <w:b/>
                <w:spacing w:val="-2"/>
                <w:sz w:val="21"/>
                <w:szCs w:val="21"/>
                <w:highlight w:val="none"/>
              </w:rPr>
              <w:t>单个客户持有份额上限</w:t>
            </w:r>
          </w:p>
        </w:tc>
        <w:tc>
          <w:tcPr>
            <w:tcW w:w="6468" w:type="dxa"/>
            <w:noWrap w:val="0"/>
            <w:vAlign w:val="center"/>
          </w:tcPr>
          <w:p>
            <w:pPr>
              <w:ind w:left="59" w:leftChars="0" w:right="73" w:rightChars="35"/>
              <w:rPr>
                <w:rFonts w:hint="eastAsia" w:ascii="楷体" w:hAnsi="楷体" w:eastAsia="楷体" w:cs="宋体"/>
                <w:spacing w:val="-2"/>
                <w:sz w:val="21"/>
                <w:szCs w:val="21"/>
                <w:highlight w:val="none"/>
              </w:rPr>
            </w:pPr>
            <w:r>
              <w:rPr>
                <w:rFonts w:hint="eastAsia" w:ascii="楷体" w:hAnsi="楷体" w:eastAsia="楷体" w:cs="宋体"/>
                <w:spacing w:val="-2"/>
                <w:kern w:val="0"/>
                <w:sz w:val="21"/>
                <w:szCs w:val="21"/>
                <w:highlight w:val="none"/>
                <w:lang w:val="en-US" w:eastAsia="zh-CN" w:bidi="ar-SA"/>
              </w:rPr>
              <w:t>单一投资者持有份额不得超过总份额50%；非因主观因素导致突破前款规定比例限制的，在单一投资者持有份额占理财产品总份额比例降至50%以下之前，不再接受该单一投资者对理财产品的认购申请。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4"/>
              <w:rPr>
                <w:rFonts w:ascii="楷体" w:hAnsi="楷体" w:eastAsia="楷体" w:cs="宋体"/>
                <w:b/>
                <w:spacing w:val="-2"/>
                <w:sz w:val="21"/>
                <w:szCs w:val="21"/>
              </w:rPr>
            </w:pPr>
            <w:r>
              <w:rPr>
                <w:rFonts w:hint="eastAsia" w:ascii="楷体" w:hAnsi="楷体" w:eastAsia="楷体" w:cs="宋体"/>
                <w:b/>
                <w:spacing w:val="-2"/>
                <w:sz w:val="21"/>
                <w:szCs w:val="21"/>
              </w:rPr>
              <w:t>募集币种</w:t>
            </w:r>
          </w:p>
        </w:tc>
        <w:tc>
          <w:tcPr>
            <w:tcW w:w="6468" w:type="dxa"/>
            <w:noWrap w:val="0"/>
            <w:vAlign w:val="center"/>
          </w:tcPr>
          <w:p>
            <w:pPr>
              <w:pStyle w:val="33"/>
              <w:kinsoku w:val="0"/>
              <w:overflowPunct w:val="0"/>
              <w:spacing w:before="14"/>
              <w:rPr>
                <w:rFonts w:ascii="楷体" w:hAnsi="楷体" w:eastAsia="楷体" w:cs="宋体"/>
                <w:spacing w:val="-2"/>
                <w:sz w:val="21"/>
                <w:szCs w:val="21"/>
              </w:rPr>
            </w:pPr>
            <w:r>
              <w:rPr>
                <w:rFonts w:hint="eastAsia" w:ascii="楷体" w:hAnsi="楷体" w:eastAsia="楷体" w:cs="宋体"/>
                <w:spacing w:val="-2"/>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ind w:left="2"/>
              <w:rPr>
                <w:rFonts w:hint="eastAsia" w:ascii="楷体" w:hAnsi="楷体" w:eastAsia="楷体" w:cs="宋体"/>
                <w:spacing w:val="-2"/>
                <w:sz w:val="21"/>
                <w:szCs w:val="21"/>
              </w:rPr>
            </w:pPr>
            <w:r>
              <w:rPr>
                <w:rFonts w:hint="eastAsia" w:ascii="楷体" w:hAnsi="楷体" w:eastAsia="楷体" w:cs="宋体"/>
                <w:b/>
                <w:spacing w:val="-2"/>
                <w:sz w:val="21"/>
                <w:szCs w:val="21"/>
              </w:rPr>
              <w:t>计划发行规模</w:t>
            </w:r>
          </w:p>
        </w:tc>
        <w:tc>
          <w:tcPr>
            <w:tcW w:w="6468" w:type="dxa"/>
            <w:noWrap w:val="0"/>
            <w:vAlign w:val="center"/>
          </w:tcPr>
          <w:p>
            <w:pPr>
              <w:pStyle w:val="33"/>
              <w:kinsoku w:val="0"/>
              <w:overflowPunct w:val="0"/>
              <w:spacing w:before="12"/>
              <w:ind w:left="3"/>
              <w:rPr>
                <w:rFonts w:ascii="楷体" w:hAnsi="楷体" w:eastAsia="楷体" w:cs="宋体"/>
                <w:spacing w:val="-2"/>
                <w:sz w:val="21"/>
                <w:szCs w:val="21"/>
              </w:rPr>
            </w:pPr>
            <w:r>
              <w:rPr>
                <w:rFonts w:hint="eastAsia" w:ascii="楷体" w:hAnsi="楷体" w:eastAsia="楷体" w:cs="宋体"/>
                <w:spacing w:val="-2"/>
                <w:sz w:val="21"/>
                <w:szCs w:val="21"/>
              </w:rPr>
              <w:t>存续规模上限</w:t>
            </w:r>
            <w:r>
              <w:rPr>
                <w:rFonts w:hint="eastAsia" w:ascii="楷体" w:hAnsi="楷体" w:eastAsia="楷体" w:cs="宋体"/>
                <w:spacing w:val="-2"/>
                <w:sz w:val="21"/>
                <w:szCs w:val="21"/>
                <w:lang w:val="en-US" w:eastAsia="zh-CN"/>
              </w:rPr>
              <w:t>2730</w:t>
            </w:r>
            <w:r>
              <w:rPr>
                <w:rFonts w:hint="eastAsia" w:ascii="楷体" w:hAnsi="楷体" w:eastAsia="楷体" w:cs="宋体"/>
                <w:spacing w:val="-2"/>
                <w:sz w:val="21"/>
                <w:szCs w:val="21"/>
              </w:rPr>
              <w:t>亿元，</w:t>
            </w:r>
            <w:r>
              <w:rPr>
                <w:rFonts w:hint="eastAsia" w:ascii="楷体" w:hAnsi="楷体" w:eastAsia="楷体" w:cs="宋体"/>
                <w:spacing w:val="-2"/>
                <w:sz w:val="21"/>
                <w:szCs w:val="21"/>
                <w:lang w:val="en-US" w:eastAsia="zh-CN"/>
              </w:rPr>
              <w:t>其中</w:t>
            </w:r>
            <w:r>
              <w:rPr>
                <w:rFonts w:hint="eastAsia" w:ascii="楷体" w:hAnsi="楷体" w:eastAsia="楷体" w:cs="宋体"/>
                <w:spacing w:val="-2"/>
                <w:sz w:val="21"/>
                <w:szCs w:val="21"/>
              </w:rPr>
              <w:t>芙蓉锦程·优选份额</w:t>
            </w:r>
            <w:r>
              <w:rPr>
                <w:rFonts w:hint="eastAsia" w:ascii="楷体" w:hAnsi="楷体" w:eastAsia="楷体" w:cs="宋体"/>
                <w:spacing w:val="-2"/>
                <w:sz w:val="21"/>
                <w:szCs w:val="21"/>
                <w:lang w:val="en-US" w:eastAsia="zh-CN"/>
              </w:rPr>
              <w:t>100亿，Z份额100亿，Q份额100亿，JS份额100亿，</w:t>
            </w: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w:t>
            </w:r>
            <w:r>
              <w:rPr>
                <w:rFonts w:hint="eastAsia" w:ascii="楷体" w:hAnsi="楷体" w:eastAsia="楷体" w:cs="宋体"/>
                <w:spacing w:val="-2"/>
                <w:sz w:val="21"/>
                <w:szCs w:val="21"/>
                <w:lang w:val="en-US" w:eastAsia="zh-CN"/>
              </w:rPr>
              <w:t>100亿，北部湾银行专属</w:t>
            </w:r>
            <w:r>
              <w:rPr>
                <w:rFonts w:hint="eastAsia" w:ascii="楷体" w:hAnsi="楷体" w:eastAsia="楷体" w:cs="宋体"/>
                <w:spacing w:val="-2"/>
                <w:sz w:val="21"/>
                <w:szCs w:val="21"/>
              </w:rPr>
              <w:t>份额</w:t>
            </w:r>
            <w:r>
              <w:rPr>
                <w:rFonts w:hint="eastAsia" w:ascii="楷体" w:hAnsi="楷体" w:eastAsia="楷体" w:cs="宋体"/>
                <w:spacing w:val="-2"/>
                <w:sz w:val="21"/>
                <w:szCs w:val="21"/>
                <w:lang w:val="en-US" w:eastAsia="zh-CN"/>
              </w:rPr>
              <w:t>100亿，P份额100亿</w:t>
            </w:r>
            <w:r>
              <w:rPr>
                <w:rFonts w:hint="eastAsia" w:ascii="楷体" w:hAnsi="楷体" w:eastAsia="楷体" w:cs="宋体"/>
                <w:spacing w:val="-2"/>
                <w:sz w:val="21"/>
                <w:szCs w:val="21"/>
              </w:rPr>
              <w:t>。</w:t>
            </w:r>
          </w:p>
          <w:p>
            <w:pPr>
              <w:pStyle w:val="33"/>
              <w:kinsoku w:val="0"/>
              <w:overflowPunct w:val="0"/>
              <w:spacing w:before="12"/>
              <w:ind w:left="3"/>
              <w:rPr>
                <w:rFonts w:hint="eastAsia" w:ascii="楷体" w:hAnsi="楷体" w:eastAsia="楷体" w:cs="宋体"/>
                <w:spacing w:val="-2"/>
                <w:sz w:val="21"/>
                <w:szCs w:val="21"/>
              </w:rPr>
            </w:pPr>
            <w:r>
              <w:rPr>
                <w:rFonts w:hint="eastAsia" w:ascii="楷体" w:hAnsi="楷体" w:eastAsia="楷体" w:cs="宋体"/>
                <w:spacing w:val="-2"/>
                <w:sz w:val="21"/>
                <w:szCs w:val="21"/>
              </w:rPr>
              <w:t>苏银理财有权根据投资运作情况，调整初始募集规模和存续规模。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jc w:val="both"/>
              <w:rPr>
                <w:rFonts w:hint="eastAsia" w:ascii="楷体" w:hAnsi="楷体" w:eastAsia="楷体" w:cs="宋体"/>
                <w:b/>
                <w:spacing w:val="-2"/>
                <w:sz w:val="21"/>
                <w:szCs w:val="21"/>
              </w:rPr>
            </w:pPr>
            <w:r>
              <w:rPr>
                <w:rFonts w:hint="eastAsia" w:ascii="楷体" w:hAnsi="楷体" w:eastAsia="楷体" w:cs="宋体"/>
                <w:b/>
                <w:spacing w:val="-2"/>
                <w:sz w:val="21"/>
                <w:szCs w:val="21"/>
                <w:highlight w:val="none"/>
              </w:rPr>
              <w:t>份额面值</w:t>
            </w:r>
          </w:p>
        </w:tc>
        <w:tc>
          <w:tcPr>
            <w:tcW w:w="6468" w:type="dxa"/>
            <w:noWrap w:val="0"/>
            <w:vAlign w:val="center"/>
          </w:tcPr>
          <w:p>
            <w:pPr>
              <w:pStyle w:val="33"/>
              <w:kinsoku w:val="0"/>
              <w:overflowPunct w:val="0"/>
              <w:spacing w:before="12"/>
              <w:ind w:left="59" w:leftChars="0" w:right="73" w:rightChars="35"/>
              <w:jc w:val="both"/>
              <w:rPr>
                <w:rFonts w:hint="eastAsia" w:ascii="楷体" w:hAnsi="楷体" w:eastAsia="楷体" w:cs="宋体"/>
                <w:spacing w:val="-2"/>
                <w:sz w:val="21"/>
                <w:szCs w:val="21"/>
              </w:rPr>
            </w:pPr>
            <w:r>
              <w:rPr>
                <w:rFonts w:hint="eastAsia" w:ascii="楷体" w:hAnsi="楷体" w:eastAsia="楷体" w:cs="宋体"/>
                <w:spacing w:val="-2"/>
                <w:sz w:val="21"/>
                <w:szCs w:val="21"/>
                <w:highlight w:val="none"/>
              </w:rPr>
              <w:t>1元/份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3"/>
              <w:ind w:left="2"/>
              <w:rPr>
                <w:rFonts w:hint="eastAsia" w:ascii="楷体" w:hAnsi="楷体" w:eastAsia="楷体" w:cs="宋体"/>
                <w:b/>
                <w:spacing w:val="-2"/>
                <w:sz w:val="21"/>
                <w:szCs w:val="21"/>
              </w:rPr>
            </w:pPr>
            <w:r>
              <w:rPr>
                <w:rFonts w:hint="eastAsia" w:ascii="楷体" w:hAnsi="楷体" w:eastAsia="楷体" w:cs="宋体"/>
                <w:b/>
                <w:spacing w:val="-2"/>
                <w:sz w:val="21"/>
                <w:szCs w:val="21"/>
              </w:rPr>
              <w:t>募集期</w:t>
            </w:r>
          </w:p>
        </w:tc>
        <w:tc>
          <w:tcPr>
            <w:tcW w:w="6468" w:type="dxa"/>
            <w:noWrap w:val="0"/>
            <w:vAlign w:val="center"/>
          </w:tcPr>
          <w:p>
            <w:pPr>
              <w:pStyle w:val="33"/>
              <w:kinsoku w:val="0"/>
              <w:overflowPunct w:val="0"/>
              <w:spacing w:before="12"/>
              <w:rPr>
                <w:rFonts w:hint="eastAsia" w:ascii="楷体" w:hAnsi="楷体" w:eastAsia="楷体" w:cs="宋体"/>
                <w:spacing w:val="-2"/>
                <w:sz w:val="21"/>
                <w:szCs w:val="21"/>
              </w:rPr>
            </w:pPr>
            <w:r>
              <w:rPr>
                <w:rFonts w:hint="eastAsia" w:ascii="楷体" w:hAnsi="楷体" w:eastAsia="楷体" w:cs="宋体"/>
                <w:spacing w:val="-2"/>
                <w:sz w:val="21"/>
                <w:szCs w:val="21"/>
              </w:rPr>
              <w:t>2018年8月29日9:00到2018年9月3日17:00</w:t>
            </w:r>
          </w:p>
          <w:p>
            <w:pPr>
              <w:pStyle w:val="33"/>
              <w:kinsoku w:val="0"/>
              <w:overflowPunct w:val="0"/>
              <w:spacing w:before="12"/>
              <w:rPr>
                <w:rFonts w:hint="eastAsia" w:ascii="楷体" w:hAnsi="楷体" w:eastAsia="楷体" w:cs="宋体"/>
                <w:spacing w:val="-2"/>
                <w:sz w:val="21"/>
                <w:szCs w:val="21"/>
              </w:rPr>
            </w:pPr>
            <w:r>
              <w:rPr>
                <w:rFonts w:hint="eastAsia" w:ascii="楷体" w:hAnsi="楷体" w:eastAsia="楷体" w:cs="宋体"/>
                <w:spacing w:val="-2"/>
                <w:sz w:val="21"/>
                <w:szCs w:val="21"/>
              </w:rPr>
              <w:t>管理人在法律允许的范围内保留延长或提前终止产品募集期的权利。如有变动，实际产品募集期以管理人公告或各销售机构设置的募集时间为准。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投资运作起始日</w:t>
            </w:r>
          </w:p>
        </w:tc>
        <w:tc>
          <w:tcPr>
            <w:tcW w:w="6468" w:type="dxa"/>
            <w:noWrap w:val="0"/>
            <w:vAlign w:val="center"/>
          </w:tcPr>
          <w:p>
            <w:pPr>
              <w:pStyle w:val="33"/>
              <w:kinsoku w:val="0"/>
              <w:overflowPunct w:val="0"/>
              <w:spacing w:before="12"/>
              <w:rPr>
                <w:rFonts w:ascii="楷体" w:hAnsi="楷体" w:eastAsia="楷体" w:cs="宋体"/>
                <w:spacing w:val="-2"/>
                <w:sz w:val="21"/>
                <w:szCs w:val="21"/>
              </w:rPr>
            </w:pPr>
            <w:r>
              <w:rPr>
                <w:rFonts w:hint="eastAsia" w:ascii="楷体" w:hAnsi="楷体" w:eastAsia="楷体" w:cs="宋体"/>
                <w:spacing w:val="-2"/>
                <w:sz w:val="21"/>
                <w:szCs w:val="21"/>
              </w:rPr>
              <w:t>2018年9月4日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封闭运作期</w:t>
            </w:r>
          </w:p>
        </w:tc>
        <w:tc>
          <w:tcPr>
            <w:tcW w:w="6468" w:type="dxa"/>
            <w:noWrap w:val="0"/>
            <w:vAlign w:val="center"/>
          </w:tcPr>
          <w:p>
            <w:pPr>
              <w:pStyle w:val="33"/>
              <w:kinsoku w:val="0"/>
              <w:overflowPunct w:val="0"/>
              <w:spacing w:before="12"/>
              <w:rPr>
                <w:rFonts w:hint="eastAsia" w:ascii="楷体" w:hAnsi="楷体" w:eastAsia="楷体" w:cs="宋体"/>
                <w:spacing w:val="-2"/>
                <w:sz w:val="21"/>
                <w:szCs w:val="21"/>
                <w:lang w:eastAsia="zh-CN"/>
              </w:rPr>
            </w:pPr>
            <w:r>
              <w:rPr>
                <w:rFonts w:hint="eastAsia" w:ascii="楷体" w:hAnsi="楷体" w:eastAsia="楷体" w:cs="宋体"/>
                <w:spacing w:val="-2"/>
                <w:sz w:val="21"/>
                <w:szCs w:val="21"/>
              </w:rPr>
              <w:t>2018年9月4日</w:t>
            </w:r>
            <w:r>
              <w:rPr>
                <w:rFonts w:hint="eastAsia" w:ascii="楷体" w:hAnsi="楷体" w:eastAsia="楷体" w:cs="宋体"/>
                <w:spacing w:val="-2"/>
                <w:sz w:val="21"/>
                <w:szCs w:val="21"/>
                <w:lang w:eastAsia="zh-CN"/>
              </w:rPr>
              <w:t>，</w:t>
            </w:r>
            <w:r>
              <w:rPr>
                <w:rFonts w:ascii="楷体" w:hAnsi="楷体" w:eastAsia="楷体" w:cs="宋体"/>
                <w:spacing w:val="-2"/>
                <w:sz w:val="21"/>
                <w:szCs w:val="21"/>
              </w:rPr>
              <w:t>封闭运作期内不可申购/</w:t>
            </w:r>
            <w:r>
              <w:rPr>
                <w:rFonts w:hint="eastAsia" w:ascii="楷体" w:hAnsi="楷体" w:eastAsia="楷体" w:cs="宋体"/>
                <w:spacing w:val="-2"/>
                <w:sz w:val="21"/>
                <w:szCs w:val="21"/>
              </w:rPr>
              <w:t>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开放计划</w:t>
            </w:r>
          </w:p>
        </w:tc>
        <w:tc>
          <w:tcPr>
            <w:tcW w:w="6468" w:type="dxa"/>
            <w:noWrap w:val="0"/>
            <w:vAlign w:val="top"/>
          </w:tcPr>
          <w:p>
            <w:pPr>
              <w:pStyle w:val="33"/>
              <w:kinsoku w:val="0"/>
              <w:overflowPunct w:val="0"/>
              <w:spacing w:before="12"/>
              <w:ind w:left="2"/>
              <w:rPr>
                <w:rFonts w:hint="eastAsia" w:ascii="楷体" w:hAnsi="楷体" w:eastAsia="楷体" w:cs="宋体"/>
                <w:spacing w:val="-2"/>
                <w:sz w:val="21"/>
                <w:szCs w:val="21"/>
              </w:rPr>
            </w:pPr>
            <w:r>
              <w:rPr>
                <w:rFonts w:hint="eastAsia" w:ascii="楷体" w:hAnsi="楷体" w:eastAsia="楷体" w:cs="宋体"/>
                <w:spacing w:val="-2"/>
                <w:sz w:val="21"/>
                <w:szCs w:val="21"/>
              </w:rPr>
              <w:t>本产品封闭运作期结束后，自2</w:t>
            </w:r>
            <w:r>
              <w:rPr>
                <w:rFonts w:ascii="楷体" w:hAnsi="楷体" w:eastAsia="楷体" w:cs="宋体"/>
                <w:spacing w:val="-2"/>
                <w:sz w:val="21"/>
                <w:szCs w:val="21"/>
              </w:rPr>
              <w:t>0</w:t>
            </w:r>
            <w:r>
              <w:rPr>
                <w:rFonts w:hint="eastAsia" w:ascii="楷体" w:hAnsi="楷体" w:eastAsia="楷体" w:cs="宋体"/>
                <w:spacing w:val="-2"/>
                <w:sz w:val="21"/>
                <w:szCs w:val="21"/>
              </w:rPr>
              <w:t>18</w:t>
            </w:r>
            <w:r>
              <w:rPr>
                <w:rFonts w:ascii="楷体" w:hAnsi="楷体" w:eastAsia="楷体" w:cs="宋体"/>
                <w:spacing w:val="-2"/>
                <w:sz w:val="21"/>
                <w:szCs w:val="21"/>
              </w:rPr>
              <w:t>年</w:t>
            </w:r>
            <w:r>
              <w:rPr>
                <w:rFonts w:hint="eastAsia" w:ascii="楷体" w:hAnsi="楷体" w:eastAsia="楷体" w:cs="宋体"/>
                <w:spacing w:val="-2"/>
                <w:sz w:val="21"/>
                <w:szCs w:val="21"/>
              </w:rPr>
              <w:t>9月5</w:t>
            </w:r>
            <w:r>
              <w:rPr>
                <w:rFonts w:ascii="楷体" w:hAnsi="楷体" w:eastAsia="楷体" w:cs="宋体"/>
                <w:spacing w:val="-2"/>
                <w:sz w:val="21"/>
                <w:szCs w:val="21"/>
              </w:rPr>
              <w:t>日</w:t>
            </w:r>
            <w:r>
              <w:rPr>
                <w:rFonts w:hint="eastAsia" w:ascii="楷体" w:hAnsi="楷体" w:eastAsia="楷体" w:cs="宋体"/>
                <w:spacing w:val="-2"/>
                <w:sz w:val="21"/>
                <w:szCs w:val="21"/>
              </w:rPr>
              <w:t>起按工作日开放申购，苏银理财可根据资产运作情况、节假日、客户需求调整开放频率，并在调整前通过苏银理财官方网站公告。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tcBorders>
              <w:bottom w:val="single" w:color="auto" w:sz="4" w:space="0"/>
            </w:tcBorders>
            <w:noWrap w:val="0"/>
            <w:vAlign w:val="center"/>
          </w:tcPr>
          <w:p>
            <w:pPr>
              <w:pStyle w:val="33"/>
              <w:kinsoku w:val="0"/>
              <w:overflowPunct w:val="0"/>
              <w:spacing w:before="12"/>
              <w:rPr>
                <w:rFonts w:hint="eastAsia" w:ascii="楷体" w:hAnsi="楷体" w:eastAsia="楷体" w:cs="宋体"/>
                <w:b/>
                <w:spacing w:val="-2"/>
                <w:sz w:val="21"/>
                <w:szCs w:val="21"/>
              </w:rPr>
            </w:pPr>
            <w:r>
              <w:rPr>
                <w:rFonts w:hint="eastAsia" w:ascii="楷体" w:hAnsi="楷体" w:eastAsia="楷体" w:cs="宋体"/>
                <w:b/>
                <w:spacing w:val="-2"/>
                <w:sz w:val="21"/>
                <w:szCs w:val="21"/>
              </w:rPr>
              <w:t>工作日</w:t>
            </w:r>
          </w:p>
        </w:tc>
        <w:tc>
          <w:tcPr>
            <w:tcW w:w="6468" w:type="dxa"/>
            <w:tcBorders>
              <w:bottom w:val="single" w:color="auto" w:sz="4" w:space="0"/>
            </w:tcBorders>
            <w:noWrap w:val="0"/>
            <w:vAlign w:val="center"/>
          </w:tcPr>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本产品所指工作日为上海证券交易所、深圳证券交易所的正常交易日。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tcBorders>
              <w:top w:val="single" w:color="auto" w:sz="4" w:space="0"/>
              <w:left w:val="single" w:color="auto" w:sz="4" w:space="0"/>
              <w:bottom w:val="single" w:color="auto" w:sz="4" w:space="0"/>
              <w:right w:val="single" w:color="auto" w:sz="4" w:space="0"/>
            </w:tcBorders>
            <w:noWrap w:val="0"/>
            <w:vAlign w:val="center"/>
          </w:tcPr>
          <w:p>
            <w:pPr>
              <w:pStyle w:val="33"/>
              <w:kinsoku w:val="0"/>
              <w:overflowPunct w:val="0"/>
              <w:spacing w:before="12"/>
              <w:rPr>
                <w:rFonts w:hint="eastAsia" w:ascii="楷体" w:hAnsi="楷体" w:eastAsia="楷体" w:cs="宋体"/>
                <w:b/>
                <w:spacing w:val="-2"/>
                <w:sz w:val="21"/>
                <w:szCs w:val="21"/>
              </w:rPr>
            </w:pPr>
            <w:r>
              <w:rPr>
                <w:rFonts w:hint="eastAsia" w:ascii="楷体" w:hAnsi="楷体" w:eastAsia="楷体" w:cs="宋体"/>
                <w:b/>
                <w:spacing w:val="-2"/>
                <w:sz w:val="21"/>
                <w:szCs w:val="21"/>
              </w:rPr>
              <w:t>产品申购</w:t>
            </w:r>
          </w:p>
        </w:tc>
        <w:tc>
          <w:tcPr>
            <w:tcW w:w="6468" w:type="dxa"/>
            <w:tcBorders>
              <w:top w:val="single" w:color="auto" w:sz="4" w:space="0"/>
              <w:left w:val="single" w:color="auto" w:sz="4" w:space="0"/>
              <w:bottom w:val="single" w:color="auto" w:sz="4" w:space="0"/>
              <w:right w:val="single" w:color="auto" w:sz="4" w:space="0"/>
            </w:tcBorders>
            <w:noWrap w:val="0"/>
            <w:vAlign w:val="center"/>
          </w:tcPr>
          <w:p>
            <w:pPr>
              <w:ind w:left="59" w:right="44" w:rightChars="21"/>
              <w:jc w:val="left"/>
              <w:rPr>
                <w:rFonts w:hint="eastAsia" w:ascii="楷体" w:hAnsi="楷体" w:eastAsia="楷体" w:cs="宋体"/>
                <w:spacing w:val="-2"/>
                <w:kern w:val="0"/>
                <w:szCs w:val="21"/>
              </w:rPr>
            </w:pPr>
            <w:r>
              <w:rPr>
                <w:rFonts w:hint="eastAsia" w:ascii="楷体" w:hAnsi="楷体" w:eastAsia="楷体" w:cs="宋体"/>
                <w:spacing w:val="-2"/>
                <w:kern w:val="0"/>
                <w:szCs w:val="21"/>
              </w:rPr>
              <w:t>1、开放预约申购为每周四至下周三（以各销售机构设置的预约期为准），其中周三为产品开放日，投资者在非开放日的预约申购申请行为统一视为在产品开放日提交申购申请。申购截止时间不晚于产品开放日17:00（以各销售机构设置的截止时间为准），开放日截止时间前客户提交的申购申请均可以申请撤单。</w:t>
            </w:r>
          </w:p>
          <w:p>
            <w:pPr>
              <w:ind w:left="59" w:right="44" w:rightChars="21"/>
              <w:jc w:val="left"/>
              <w:rPr>
                <w:rFonts w:hint="eastAsia" w:ascii="楷体" w:hAnsi="楷体" w:eastAsia="楷体" w:cs="宋体"/>
                <w:spacing w:val="-2"/>
                <w:kern w:val="0"/>
                <w:szCs w:val="21"/>
              </w:rPr>
            </w:pPr>
            <w:r>
              <w:rPr>
                <w:rFonts w:hint="eastAsia" w:ascii="楷体" w:hAnsi="楷体" w:eastAsia="楷体" w:cs="宋体"/>
                <w:spacing w:val="-2"/>
                <w:kern w:val="0"/>
                <w:szCs w:val="21"/>
              </w:rPr>
              <w:t>2、每周四为份额确认日，开放日受理的申购申请由管理人统一在周四予以确认。</w:t>
            </w:r>
          </w:p>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3、</w:t>
            </w:r>
            <w:r>
              <w:rPr>
                <w:rFonts w:hint="eastAsia" w:ascii="楷体" w:hAnsi="楷体" w:eastAsia="楷体" w:cs="宋体"/>
                <w:b/>
                <w:spacing w:val="-2"/>
                <w:kern w:val="0"/>
                <w:szCs w:val="21"/>
                <w:u w:val="single"/>
              </w:rPr>
              <w:t>若周三</w:t>
            </w:r>
            <w:r>
              <w:rPr>
                <w:rFonts w:hint="eastAsia" w:ascii="楷体" w:hAnsi="楷体" w:eastAsia="楷体" w:cs="宋体"/>
                <w:b/>
                <w:spacing w:val="-2"/>
                <w:kern w:val="0"/>
                <w:szCs w:val="21"/>
                <w:u w:val="single"/>
                <w:lang w:val="en-US" w:eastAsia="zh-CN"/>
              </w:rPr>
              <w:t>或</w:t>
            </w:r>
            <w:r>
              <w:rPr>
                <w:rFonts w:hint="eastAsia" w:ascii="楷体" w:hAnsi="楷体" w:eastAsia="楷体" w:cs="宋体"/>
                <w:b/>
                <w:spacing w:val="-2"/>
                <w:kern w:val="0"/>
                <w:szCs w:val="21"/>
                <w:u w:val="single"/>
              </w:rPr>
              <w:t>周四为非工作日，则开放日和确认日作相应调整，苏银理财将按说明书约定的信息披露方式予以披露，以相关披露内容为准。其他时间苏银理财不接受客户申购申请。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tcBorders>
              <w:top w:val="single" w:color="auto" w:sz="4" w:space="0"/>
            </w:tcBorders>
            <w:noWrap w:val="0"/>
            <w:vAlign w:val="center"/>
          </w:tcPr>
          <w:p>
            <w:pPr>
              <w:pStyle w:val="33"/>
              <w:kinsoku w:val="0"/>
              <w:overflowPunct w:val="0"/>
              <w:spacing w:before="12"/>
              <w:rPr>
                <w:rFonts w:hint="eastAsia" w:ascii="楷体" w:hAnsi="楷体" w:eastAsia="楷体" w:cs="宋体"/>
                <w:b/>
                <w:spacing w:val="-2"/>
                <w:sz w:val="21"/>
                <w:szCs w:val="21"/>
                <w:highlight w:val="none"/>
              </w:rPr>
            </w:pPr>
            <w:r>
              <w:rPr>
                <w:rFonts w:hint="eastAsia" w:ascii="楷体" w:hAnsi="楷体" w:eastAsia="楷体" w:cs="宋体"/>
                <w:b/>
                <w:spacing w:val="-2"/>
                <w:sz w:val="21"/>
                <w:szCs w:val="21"/>
                <w:highlight w:val="none"/>
              </w:rPr>
              <w:t>巨额</w:t>
            </w:r>
            <w:r>
              <w:rPr>
                <w:rFonts w:ascii="楷体" w:hAnsi="楷体" w:eastAsia="楷体" w:cs="宋体"/>
                <w:b/>
                <w:spacing w:val="-2"/>
                <w:sz w:val="21"/>
                <w:szCs w:val="21"/>
                <w:highlight w:val="none"/>
              </w:rPr>
              <w:t>申购</w:t>
            </w:r>
          </w:p>
        </w:tc>
        <w:tc>
          <w:tcPr>
            <w:tcW w:w="6468" w:type="dxa"/>
            <w:tcBorders>
              <w:top w:val="single" w:color="auto" w:sz="4" w:space="0"/>
            </w:tcBorders>
            <w:noWrap w:val="0"/>
            <w:vAlign w:val="center"/>
          </w:tcPr>
          <w:p>
            <w:pPr>
              <w:jc w:val="left"/>
              <w:rPr>
                <w:rFonts w:hint="eastAsia" w:ascii="楷体" w:hAnsi="楷体" w:eastAsia="楷体" w:cs="宋体"/>
                <w:spacing w:val="-2"/>
                <w:kern w:val="0"/>
                <w:szCs w:val="21"/>
                <w:highlight w:val="none"/>
              </w:rPr>
            </w:pPr>
            <w:r>
              <w:rPr>
                <w:rFonts w:hint="eastAsia" w:ascii="楷体" w:hAnsi="楷体" w:eastAsia="楷体" w:cs="宋体"/>
                <w:spacing w:val="-2"/>
                <w:kern w:val="0"/>
                <w:szCs w:val="21"/>
                <w:highlight w:val="none"/>
              </w:rPr>
              <w:t>产品单个开放日</w:t>
            </w:r>
            <w:r>
              <w:rPr>
                <w:rFonts w:hint="eastAsia" w:ascii="楷体" w:hAnsi="楷体" w:eastAsia="楷体" w:cs="宋体"/>
                <w:spacing w:val="-2"/>
                <w:kern w:val="0"/>
                <w:szCs w:val="21"/>
                <w:highlight w:val="none"/>
                <w:lang w:val="en-US" w:eastAsia="zh-CN"/>
              </w:rPr>
              <w:t>净</w:t>
            </w:r>
            <w:r>
              <w:rPr>
                <w:rFonts w:hint="eastAsia" w:ascii="楷体" w:hAnsi="楷体" w:eastAsia="楷体" w:cs="宋体"/>
                <w:spacing w:val="-2"/>
                <w:kern w:val="0"/>
                <w:szCs w:val="21"/>
                <w:highlight w:val="none"/>
              </w:rPr>
              <w:t>申购申请折算产品份额超过上一日产品总份额20%时，即认为发生了巨额申购。当出现巨额申购时，产品管理人有权拒绝客户的全部或部分申购申请。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tcBorders>
              <w:top w:val="single" w:color="auto" w:sz="4" w:space="0"/>
            </w:tcBorders>
            <w:noWrap w:val="0"/>
            <w:vAlign w:val="center"/>
          </w:tcPr>
          <w:p>
            <w:pPr>
              <w:pStyle w:val="33"/>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产品赎回</w:t>
            </w:r>
          </w:p>
        </w:tc>
        <w:tc>
          <w:tcPr>
            <w:tcW w:w="6468" w:type="dxa"/>
            <w:tcBorders>
              <w:top w:val="single" w:color="auto" w:sz="4" w:space="0"/>
            </w:tcBorders>
            <w:noWrap w:val="0"/>
            <w:vAlign w:val="center"/>
          </w:tcPr>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仅自动赎回。本产品以182天为1个投资周期，客户份额持有时间达到182天，系统自动发起赎回。</w:t>
            </w:r>
            <w:r>
              <w:rPr>
                <w:rFonts w:hint="eastAsia" w:ascii="楷体" w:hAnsi="楷体" w:eastAsia="楷体" w:cs="宋体"/>
                <w:b/>
                <w:spacing w:val="-2"/>
                <w:kern w:val="0"/>
                <w:szCs w:val="21"/>
                <w:u w:val="single"/>
              </w:rPr>
              <w:t>在未按约定运作满足够天数前客户无权提前赎回份额。如份额确认日对应的182天为非工作日，</w:t>
            </w:r>
            <w:r>
              <w:rPr>
                <w:rFonts w:hint="eastAsia" w:ascii="楷体" w:hAnsi="楷体" w:eastAsia="楷体" w:cs="宋体"/>
                <w:b/>
                <w:spacing w:val="-2"/>
                <w:kern w:val="0"/>
                <w:szCs w:val="21"/>
                <w:u w:val="single"/>
                <w:lang w:val="en-US" w:eastAsia="zh-CN"/>
              </w:rPr>
              <w:t>管理人</w:t>
            </w:r>
            <w:r>
              <w:rPr>
                <w:rFonts w:hint="eastAsia" w:ascii="楷体" w:hAnsi="楷体" w:eastAsia="楷体" w:cs="宋体"/>
                <w:b/>
                <w:spacing w:val="-2"/>
                <w:kern w:val="0"/>
                <w:szCs w:val="21"/>
                <w:u w:val="single"/>
              </w:rPr>
              <w:t>将对自动赎回日进行动态调整，以</w:t>
            </w:r>
            <w:r>
              <w:rPr>
                <w:rFonts w:hint="eastAsia" w:ascii="楷体" w:hAnsi="楷体" w:eastAsia="楷体" w:cs="宋体"/>
                <w:b/>
                <w:spacing w:val="-2"/>
                <w:kern w:val="0"/>
                <w:szCs w:val="21"/>
                <w:u w:val="single"/>
                <w:lang w:val="en-US" w:eastAsia="zh-CN"/>
              </w:rPr>
              <w:t>管理人</w:t>
            </w:r>
            <w:r>
              <w:rPr>
                <w:rFonts w:hint="eastAsia" w:ascii="楷体" w:hAnsi="楷体" w:eastAsia="楷体" w:cs="宋体"/>
                <w:b/>
                <w:spacing w:val="-2"/>
                <w:kern w:val="0"/>
                <w:szCs w:val="21"/>
                <w:u w:val="single"/>
              </w:rPr>
              <w:t>的公告和系统设置为准，在此情况情形下投资周期可能会略长于或短于182天</w:t>
            </w:r>
            <w:r>
              <w:rPr>
                <w:rFonts w:hint="eastAsia" w:ascii="楷体" w:hAnsi="楷体" w:eastAsia="楷体" w:cs="宋体"/>
                <w:spacing w:val="-2"/>
                <w:kern w:val="0"/>
                <w:szCs w:val="21"/>
              </w:rPr>
              <w:t>。</w:t>
            </w:r>
            <w:r>
              <w:rPr>
                <w:rFonts w:hint="eastAsia" w:ascii="楷体" w:hAnsi="楷体" w:eastAsia="楷体" w:cs="宋体"/>
                <w:b/>
                <w:color w:val="auto"/>
                <w:spacing w:val="-2"/>
                <w:kern w:val="0"/>
                <w:szCs w:val="21"/>
                <w:highlight w:val="none"/>
                <w:u w:val="single"/>
              </w:rPr>
              <w:t>苏银理财将</w:t>
            </w:r>
            <w:r>
              <w:rPr>
                <w:rFonts w:hint="eastAsia" w:ascii="楷体" w:hAnsi="楷体" w:eastAsia="楷体" w:cs="宋体"/>
                <w:b/>
                <w:color w:val="auto"/>
                <w:spacing w:val="-2"/>
                <w:kern w:val="0"/>
                <w:szCs w:val="21"/>
                <w:highlight w:val="none"/>
                <w:u w:val="single"/>
                <w:lang w:val="en-US" w:eastAsia="zh-CN"/>
              </w:rPr>
              <w:t>提前进行公告，客户可根据自身需要自主选择购买</w:t>
            </w:r>
            <w:r>
              <w:rPr>
                <w:rFonts w:hint="eastAsia" w:ascii="楷体" w:hAnsi="楷体" w:eastAsia="楷体" w:cs="宋体"/>
                <w:spacing w:val="-2"/>
                <w:kern w:val="0"/>
                <w:szCs w:val="21"/>
                <w:highlight w:val="none"/>
              </w:rPr>
              <w:t>。</w:t>
            </w:r>
            <w:r>
              <w:rPr>
                <w:rFonts w:hint="eastAsia" w:ascii="楷体" w:hAnsi="楷体" w:eastAsia="楷体" w:cs="宋体"/>
                <w:spacing w:val="-2"/>
                <w:kern w:val="0"/>
                <w:szCs w:val="21"/>
              </w:rPr>
              <w:t>自动赎回时按实际赎回日前一工作日产品单位净值计算客户赎回兑付金额，自动赎回不受巨额赎回限制。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hint="eastAsia" w:ascii="楷体" w:hAnsi="楷体" w:eastAsia="楷体" w:cs="宋体"/>
                <w:spacing w:val="-2"/>
                <w:sz w:val="21"/>
                <w:szCs w:val="21"/>
              </w:rPr>
            </w:pPr>
            <w:r>
              <w:rPr>
                <w:rFonts w:hint="eastAsia" w:ascii="楷体" w:hAnsi="楷体" w:eastAsia="楷体" w:cs="宋体"/>
                <w:b/>
                <w:spacing w:val="-2"/>
                <w:sz w:val="21"/>
                <w:szCs w:val="21"/>
              </w:rPr>
              <w:t>认购/申购资金的清算</w:t>
            </w:r>
          </w:p>
        </w:tc>
        <w:tc>
          <w:tcPr>
            <w:tcW w:w="6468" w:type="dxa"/>
            <w:noWrap w:val="0"/>
            <w:vAlign w:val="center"/>
          </w:tcPr>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1、投资者提出认购/申购申请后，投资者认购/申购资金将会冻结在投资者资金账户上。冻结期间资金利息根据《理财产品（代理）销售协议书》相关条款确定。</w:t>
            </w:r>
          </w:p>
          <w:p>
            <w:pPr>
              <w:jc w:val="left"/>
              <w:rPr>
                <w:rFonts w:hint="eastAsia" w:ascii="楷体" w:hAnsi="楷体" w:eastAsia="楷体" w:cs="宋体"/>
                <w:spacing w:val="-2"/>
                <w:kern w:val="0"/>
                <w:szCs w:val="21"/>
              </w:rPr>
            </w:pPr>
            <w:r>
              <w:rPr>
                <w:rFonts w:hint="eastAsia" w:ascii="楷体" w:hAnsi="楷体" w:eastAsia="楷体" w:cs="宋体"/>
                <w:spacing w:val="-2"/>
                <w:kern w:val="0"/>
                <w:szCs w:val="21"/>
              </w:rPr>
              <w:t>2、管理人在份额确认日通知销售机构扣划投资者认购/申购资金，投资者应在扣款前保证资金账户中拥有足够可用余额。因投资者资金账户余额不足、司法冻结、不可抗力因素或其他不可归责于苏银理财和销售机构的事由出现，造成扣款失败，认购/申购申请未被确认的，苏银理财和销售机构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认购/申购份额的计算</w:t>
            </w:r>
          </w:p>
        </w:tc>
        <w:tc>
          <w:tcPr>
            <w:tcW w:w="6468" w:type="dxa"/>
            <w:noWrap w:val="0"/>
            <w:vAlign w:val="center"/>
          </w:tcPr>
          <w:p>
            <w:pPr>
              <w:pStyle w:val="33"/>
              <w:kinsoku w:val="0"/>
              <w:overflowPunct w:val="0"/>
              <w:spacing w:before="12"/>
              <w:rPr>
                <w:rFonts w:hint="eastAsia" w:ascii="楷体" w:hAnsi="楷体" w:eastAsia="楷体" w:cs="宋体"/>
                <w:spacing w:val="-2"/>
                <w:sz w:val="21"/>
                <w:szCs w:val="21"/>
              </w:rPr>
            </w:pPr>
            <w:r>
              <w:rPr>
                <w:rFonts w:hint="eastAsia" w:ascii="楷体" w:hAnsi="楷体" w:eastAsia="楷体" w:cs="宋体"/>
                <w:spacing w:val="-2"/>
                <w:sz w:val="21"/>
                <w:szCs w:val="21"/>
              </w:rPr>
              <w:t>详见下文“十、产品运作”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赎回资金的清算</w:t>
            </w:r>
          </w:p>
        </w:tc>
        <w:tc>
          <w:tcPr>
            <w:tcW w:w="6468" w:type="dxa"/>
            <w:noWrap w:val="0"/>
            <w:vAlign w:val="center"/>
          </w:tcPr>
          <w:p>
            <w:pPr>
              <w:pStyle w:val="33"/>
              <w:kinsoku w:val="0"/>
              <w:overflowPunct w:val="0"/>
              <w:spacing w:before="12"/>
              <w:rPr>
                <w:rFonts w:hint="eastAsia" w:ascii="楷体" w:hAnsi="楷体" w:eastAsia="楷体" w:cs="宋体"/>
                <w:spacing w:val="-2"/>
                <w:sz w:val="21"/>
                <w:szCs w:val="21"/>
              </w:rPr>
            </w:pPr>
            <w:r>
              <w:rPr>
                <w:rFonts w:hint="eastAsia" w:ascii="楷体" w:hAnsi="楷体" w:eastAsia="楷体" w:cs="宋体"/>
                <w:spacing w:val="-2"/>
                <w:sz w:val="21"/>
                <w:szCs w:val="21"/>
              </w:rPr>
              <w:t>投资者赎回资金将在赎回申请确认日后2个工作日内到达投资者资金账户。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赎回金额的计算</w:t>
            </w:r>
          </w:p>
        </w:tc>
        <w:tc>
          <w:tcPr>
            <w:tcW w:w="6468" w:type="dxa"/>
            <w:noWrap w:val="0"/>
            <w:vAlign w:val="center"/>
          </w:tcPr>
          <w:p>
            <w:pPr>
              <w:pStyle w:val="33"/>
              <w:kinsoku w:val="0"/>
              <w:overflowPunct w:val="0"/>
              <w:spacing w:before="12"/>
              <w:rPr>
                <w:rFonts w:hint="eastAsia" w:ascii="楷体" w:hAnsi="楷体" w:eastAsia="楷体" w:cs="宋体"/>
                <w:spacing w:val="-2"/>
                <w:sz w:val="21"/>
                <w:szCs w:val="21"/>
              </w:rPr>
            </w:pPr>
            <w:r>
              <w:rPr>
                <w:rFonts w:hint="eastAsia" w:ascii="楷体" w:hAnsi="楷体" w:eastAsia="楷体" w:cs="宋体"/>
                <w:b/>
                <w:bCs/>
                <w:spacing w:val="-2"/>
                <w:sz w:val="21"/>
                <w:szCs w:val="21"/>
                <w:u w:val="single"/>
              </w:rPr>
              <w:t>投资者持仓份额的产品净值可能含有未收取的超额业绩报酬，自动赎回兑付金额以实际入账金额为准。</w:t>
            </w:r>
            <w:r>
              <w:rPr>
                <w:rFonts w:hint="eastAsia" w:ascii="楷体" w:hAnsi="楷体" w:eastAsia="楷体" w:cs="宋体"/>
                <w:spacing w:val="-2"/>
                <w:sz w:val="21"/>
                <w:szCs w:val="21"/>
              </w:rPr>
              <w:t>详见下文“十、产品运作”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2"/>
              <w:ind w:left="2"/>
              <w:rPr>
                <w:rFonts w:hint="eastAsia" w:ascii="楷体" w:hAnsi="楷体" w:eastAsia="楷体" w:cs="宋体"/>
                <w:b/>
                <w:spacing w:val="-2"/>
                <w:sz w:val="21"/>
                <w:szCs w:val="21"/>
              </w:rPr>
            </w:pPr>
            <w:r>
              <w:rPr>
                <w:rFonts w:hint="eastAsia" w:ascii="楷体" w:hAnsi="楷体" w:eastAsia="楷体" w:cs="宋体"/>
                <w:b/>
                <w:spacing w:val="-2"/>
                <w:sz w:val="21"/>
                <w:szCs w:val="21"/>
              </w:rPr>
              <w:t>终止日</w:t>
            </w:r>
          </w:p>
        </w:tc>
        <w:tc>
          <w:tcPr>
            <w:tcW w:w="6468" w:type="dxa"/>
            <w:noWrap w:val="0"/>
            <w:vAlign w:val="center"/>
          </w:tcPr>
          <w:p>
            <w:pPr>
              <w:pStyle w:val="33"/>
              <w:rPr>
                <w:rFonts w:hint="eastAsia" w:ascii="楷体" w:hAnsi="楷体" w:eastAsia="楷体" w:cs="宋体"/>
                <w:spacing w:val="-2"/>
                <w:sz w:val="21"/>
                <w:szCs w:val="21"/>
              </w:rPr>
            </w:pPr>
            <w:r>
              <w:rPr>
                <w:rFonts w:hint="eastAsia" w:ascii="楷体" w:hAnsi="楷体" w:eastAsia="楷体" w:cs="宋体"/>
                <w:spacing w:val="-2"/>
                <w:sz w:val="21"/>
                <w:szCs w:val="21"/>
              </w:rPr>
              <w:t>2038年9月3日（如遇节假日，顺延至下一工作日）</w:t>
            </w:r>
          </w:p>
          <w:p>
            <w:pPr>
              <w:pStyle w:val="33"/>
              <w:rPr>
                <w:rFonts w:hint="eastAsia" w:ascii="楷体" w:hAnsi="楷体" w:eastAsia="楷体" w:cs="宋体"/>
                <w:spacing w:val="-2"/>
                <w:sz w:val="21"/>
                <w:szCs w:val="21"/>
              </w:rPr>
            </w:pPr>
            <w:r>
              <w:rPr>
                <w:rFonts w:hint="eastAsia" w:ascii="楷体" w:hAnsi="楷体" w:eastAsia="楷体" w:cs="宋体"/>
                <w:spacing w:val="-2"/>
                <w:sz w:val="21"/>
                <w:szCs w:val="21"/>
              </w:rPr>
              <w:t>在符合本理财产品说明书约定的条件下，管理人有权提前终止该产品，产品到期日受制于提前终止条款。详见下文“十</w:t>
            </w:r>
            <w:r>
              <w:rPr>
                <w:rFonts w:hint="eastAsia" w:ascii="楷体" w:hAnsi="楷体" w:eastAsia="楷体" w:cs="宋体"/>
                <w:spacing w:val="-2"/>
                <w:sz w:val="21"/>
                <w:szCs w:val="21"/>
                <w:lang w:val="en-US" w:eastAsia="zh-CN"/>
              </w:rPr>
              <w:t>一</w:t>
            </w:r>
            <w:r>
              <w:rPr>
                <w:rFonts w:hint="eastAsia" w:ascii="楷体" w:hAnsi="楷体" w:eastAsia="楷体" w:cs="宋体"/>
                <w:spacing w:val="-2"/>
                <w:sz w:val="21"/>
                <w:szCs w:val="21"/>
              </w:rPr>
              <w:t>、产品的终止与清算”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6" w:hRule="atLeast"/>
          <w:jc w:val="center"/>
        </w:trPr>
        <w:tc>
          <w:tcPr>
            <w:tcW w:w="1848" w:type="dxa"/>
            <w:noWrap w:val="0"/>
            <w:vAlign w:val="center"/>
          </w:tcPr>
          <w:p>
            <w:pPr>
              <w:pStyle w:val="33"/>
              <w:kinsoku w:val="0"/>
              <w:overflowPunct w:val="0"/>
              <w:spacing w:before="18"/>
              <w:ind w:left="4"/>
              <w:rPr>
                <w:rFonts w:ascii="楷体" w:hAnsi="楷体" w:eastAsia="楷体" w:cs="宋体"/>
                <w:b/>
                <w:spacing w:val="-2"/>
                <w:sz w:val="21"/>
                <w:szCs w:val="21"/>
              </w:rPr>
            </w:pPr>
            <w:r>
              <w:rPr>
                <w:rFonts w:hint="eastAsia" w:ascii="楷体" w:hAnsi="楷体" w:eastAsia="楷体" w:cs="宋体"/>
                <w:b/>
                <w:spacing w:val="-2"/>
                <w:sz w:val="21"/>
                <w:szCs w:val="21"/>
              </w:rPr>
              <w:t>业绩比较基准（</w:t>
            </w:r>
            <w:r>
              <w:rPr>
                <w:rFonts w:hint="eastAsia" w:ascii="楷体" w:hAnsi="楷体" w:eastAsia="楷体" w:cs="宋体"/>
                <w:spacing w:val="-2"/>
                <w:szCs w:val="21"/>
              </w:rPr>
              <w:t>R）</w:t>
            </w:r>
          </w:p>
          <w:p>
            <w:pPr>
              <w:pStyle w:val="33"/>
              <w:kinsoku w:val="0"/>
              <w:overflowPunct w:val="0"/>
              <w:spacing w:before="18"/>
              <w:ind w:left="4"/>
              <w:rPr>
                <w:rFonts w:ascii="楷体" w:hAnsi="楷体" w:eastAsia="楷体" w:cs="宋体"/>
                <w:b/>
                <w:spacing w:val="-2"/>
                <w:sz w:val="21"/>
                <w:szCs w:val="21"/>
              </w:rPr>
            </w:pPr>
            <w:r>
              <w:rPr>
                <w:rFonts w:hint="eastAsia" w:ascii="楷体" w:hAnsi="楷体" w:eastAsia="楷体" w:cs="宋体"/>
                <w:b/>
                <w:spacing w:val="-2"/>
                <w:sz w:val="21"/>
                <w:szCs w:val="21"/>
              </w:rPr>
              <w:t>（年化）</w:t>
            </w:r>
          </w:p>
        </w:tc>
        <w:tc>
          <w:tcPr>
            <w:tcW w:w="6468" w:type="dxa"/>
            <w:noWrap w:val="0"/>
            <w:vAlign w:val="center"/>
          </w:tcPr>
          <w:p>
            <w:pPr>
              <w:pStyle w:val="33"/>
              <w:spacing w:before="37" w:line="273" w:lineRule="auto"/>
              <w:ind w:right="10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rPr>
              <w:t>芙蓉锦程·优选份额</w:t>
            </w:r>
            <w:r>
              <w:rPr>
                <w:rFonts w:hint="eastAsia" w:ascii="楷体" w:hAnsi="楷体" w:eastAsia="楷体" w:cs="宋体"/>
                <w:spacing w:val="-2"/>
                <w:sz w:val="21"/>
                <w:szCs w:val="21"/>
                <w:lang w:val="en-US" w:eastAsia="zh-CN"/>
              </w:rPr>
              <w:t>：2.20%-3.00%</w:t>
            </w:r>
          </w:p>
          <w:p>
            <w:pPr>
              <w:pStyle w:val="33"/>
              <w:spacing w:before="37" w:line="273" w:lineRule="auto"/>
              <w:ind w:right="103"/>
              <w:rPr>
                <w:rFonts w:ascii="楷体" w:hAnsi="楷体" w:eastAsia="楷体" w:cs="宋体"/>
                <w:spacing w:val="-2"/>
                <w:sz w:val="21"/>
                <w:szCs w:val="21"/>
              </w:rPr>
            </w:pPr>
            <w:r>
              <w:rPr>
                <w:rFonts w:hint="eastAsia" w:ascii="楷体" w:hAnsi="楷体" w:eastAsia="楷体" w:cs="宋体"/>
                <w:spacing w:val="-2"/>
                <w:sz w:val="21"/>
                <w:szCs w:val="21"/>
                <w:lang w:val="en-US" w:eastAsia="zh-CN"/>
              </w:rPr>
              <w:t>Z份额</w:t>
            </w:r>
            <w:r>
              <w:rPr>
                <w:rFonts w:hint="eastAsia" w:ascii="楷体" w:hAnsi="楷体" w:eastAsia="楷体" w:cs="宋体"/>
                <w:spacing w:val="-2"/>
                <w:sz w:val="21"/>
                <w:szCs w:val="21"/>
              </w:rPr>
              <w:t>：</w:t>
            </w:r>
            <w:r>
              <w:rPr>
                <w:rFonts w:hint="eastAsia" w:ascii="楷体" w:hAnsi="楷体" w:eastAsia="楷体" w:cs="宋体"/>
                <w:spacing w:val="-2"/>
                <w:sz w:val="21"/>
                <w:szCs w:val="21"/>
                <w:lang w:val="en-US" w:eastAsia="zh-CN"/>
              </w:rPr>
              <w:t>2.20%-3.00%</w:t>
            </w:r>
          </w:p>
          <w:p>
            <w:pPr>
              <w:pStyle w:val="33"/>
              <w:spacing w:before="37" w:line="273" w:lineRule="auto"/>
              <w:ind w:right="103"/>
              <w:rPr>
                <w:rFonts w:ascii="楷体" w:hAnsi="楷体" w:eastAsia="楷体" w:cs="宋体"/>
                <w:spacing w:val="-2"/>
                <w:sz w:val="21"/>
                <w:szCs w:val="21"/>
              </w:rPr>
            </w:pPr>
            <w:r>
              <w:rPr>
                <w:rFonts w:hint="eastAsia" w:ascii="楷体" w:hAnsi="楷体" w:eastAsia="楷体" w:cs="宋体"/>
                <w:spacing w:val="-2"/>
                <w:sz w:val="21"/>
                <w:szCs w:val="21"/>
                <w:lang w:val="en-US" w:eastAsia="zh-CN"/>
              </w:rPr>
              <w:t>Q份额</w:t>
            </w:r>
            <w:r>
              <w:rPr>
                <w:rFonts w:hint="eastAsia" w:ascii="楷体" w:hAnsi="楷体" w:eastAsia="楷体" w:cs="宋体"/>
                <w:spacing w:val="-2"/>
                <w:sz w:val="21"/>
                <w:szCs w:val="21"/>
              </w:rPr>
              <w:t>：</w:t>
            </w:r>
            <w:r>
              <w:rPr>
                <w:rFonts w:hint="eastAsia" w:ascii="楷体" w:hAnsi="楷体" w:eastAsia="楷体" w:cs="宋体"/>
                <w:spacing w:val="-2"/>
                <w:sz w:val="21"/>
                <w:szCs w:val="21"/>
                <w:lang w:val="en-US" w:eastAsia="zh-CN"/>
              </w:rPr>
              <w:t>2.20%-3.00%</w:t>
            </w:r>
          </w:p>
          <w:p>
            <w:pPr>
              <w:pStyle w:val="33"/>
              <w:spacing w:before="37" w:line="273" w:lineRule="auto"/>
              <w:ind w:right="103"/>
              <w:rPr>
                <w:rFonts w:ascii="楷体" w:hAnsi="楷体" w:eastAsia="楷体" w:cs="宋体"/>
                <w:spacing w:val="-2"/>
                <w:sz w:val="21"/>
                <w:szCs w:val="21"/>
              </w:rPr>
            </w:pPr>
            <w:r>
              <w:rPr>
                <w:rFonts w:hint="eastAsia" w:ascii="楷体" w:hAnsi="楷体" w:eastAsia="楷体" w:cs="宋体"/>
                <w:spacing w:val="-2"/>
                <w:sz w:val="21"/>
                <w:szCs w:val="21"/>
                <w:lang w:val="en-US" w:eastAsia="zh-CN"/>
              </w:rPr>
              <w:t>JS份额</w:t>
            </w:r>
            <w:r>
              <w:rPr>
                <w:rFonts w:hint="eastAsia" w:ascii="楷体" w:hAnsi="楷体" w:eastAsia="楷体" w:cs="宋体"/>
                <w:spacing w:val="-2"/>
                <w:sz w:val="21"/>
                <w:szCs w:val="21"/>
              </w:rPr>
              <w:t>：</w:t>
            </w:r>
            <w:r>
              <w:rPr>
                <w:rFonts w:hint="eastAsia" w:ascii="楷体" w:hAnsi="楷体" w:eastAsia="楷体" w:cs="宋体"/>
                <w:spacing w:val="-2"/>
                <w:sz w:val="21"/>
                <w:szCs w:val="21"/>
                <w:lang w:val="en-US" w:eastAsia="zh-CN"/>
              </w:rPr>
              <w:t>2.30%-3.10%</w:t>
            </w:r>
          </w:p>
          <w:p>
            <w:pPr>
              <w:pStyle w:val="33"/>
              <w:spacing w:before="37" w:line="273" w:lineRule="auto"/>
              <w:ind w:right="10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val="en-US" w:eastAsia="zh-CN"/>
              </w:rPr>
              <w:t>-尊享款</w:t>
            </w:r>
            <w:r>
              <w:rPr>
                <w:rFonts w:hint="eastAsia" w:ascii="楷体" w:hAnsi="楷体" w:eastAsia="楷体" w:cs="宋体"/>
                <w:spacing w:val="-2"/>
                <w:sz w:val="21"/>
                <w:szCs w:val="21"/>
              </w:rPr>
              <w:t>份额</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lang w:val="en-US" w:eastAsia="zh-CN"/>
              </w:rPr>
              <w:t>2.45%-3.25%</w:t>
            </w:r>
          </w:p>
          <w:p>
            <w:pPr>
              <w:pStyle w:val="33"/>
              <w:spacing w:before="37" w:line="273" w:lineRule="auto"/>
              <w:ind w:right="103"/>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北部湾银行专属</w:t>
            </w:r>
            <w:r>
              <w:rPr>
                <w:rFonts w:hint="eastAsia" w:ascii="楷体" w:hAnsi="楷体" w:eastAsia="楷体" w:cs="宋体"/>
                <w:spacing w:val="-2"/>
                <w:sz w:val="21"/>
                <w:szCs w:val="21"/>
              </w:rPr>
              <w:t>份额</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lang w:val="en-US" w:eastAsia="zh-CN"/>
              </w:rPr>
              <w:t>2.25%-3.05%</w:t>
            </w:r>
          </w:p>
          <w:p>
            <w:pPr>
              <w:pStyle w:val="33"/>
              <w:spacing w:before="37" w:line="273" w:lineRule="auto"/>
              <w:ind w:right="103"/>
              <w:rPr>
                <w:rFonts w:hint="default"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P份额</w:t>
            </w:r>
            <w:r>
              <w:rPr>
                <w:rFonts w:hint="eastAsia" w:ascii="楷体" w:hAnsi="楷体" w:eastAsia="楷体" w:cs="宋体"/>
                <w:spacing w:val="-2"/>
                <w:sz w:val="21"/>
                <w:szCs w:val="21"/>
              </w:rPr>
              <w:t>：</w:t>
            </w:r>
            <w:r>
              <w:rPr>
                <w:rFonts w:hint="eastAsia" w:ascii="楷体" w:hAnsi="楷体" w:eastAsia="楷体" w:cs="宋体"/>
                <w:spacing w:val="-2"/>
                <w:sz w:val="21"/>
                <w:szCs w:val="21"/>
                <w:lang w:val="en-US" w:eastAsia="zh-CN"/>
              </w:rPr>
              <w:t>2.40%-3.20%</w:t>
            </w:r>
          </w:p>
          <w:p>
            <w:pPr>
              <w:pStyle w:val="33"/>
              <w:spacing w:before="37" w:line="273" w:lineRule="auto"/>
              <w:ind w:left="103" w:right="103"/>
              <w:rPr>
                <w:rFonts w:hint="eastAsia" w:ascii="楷体" w:hAnsi="楷体" w:eastAsia="楷体" w:cs="宋体"/>
                <w:spacing w:val="-2"/>
                <w:sz w:val="21"/>
                <w:szCs w:val="21"/>
              </w:rPr>
            </w:pPr>
            <w:r>
              <w:rPr>
                <w:rFonts w:hint="eastAsia" w:ascii="楷体" w:hAnsi="楷体" w:eastAsia="楷体" w:cs="宋体"/>
                <w:b/>
                <w:spacing w:val="-2"/>
                <w:sz w:val="21"/>
                <w:szCs w:val="21"/>
                <w:u w:val="single"/>
              </w:rPr>
              <w:t>产品存续期内管理人有权根据产品投资运作情况、市场情况调整业绩比较基准，并至少于调整前</w:t>
            </w:r>
            <w:r>
              <w:rPr>
                <w:rFonts w:hint="eastAsia" w:ascii="楷体" w:hAnsi="楷体" w:eastAsia="楷体" w:cs="宋体"/>
                <w:b/>
                <w:spacing w:val="-2"/>
                <w:sz w:val="21"/>
                <w:szCs w:val="21"/>
                <w:u w:val="single"/>
                <w:lang w:val="en-US" w:eastAsia="zh-CN"/>
              </w:rPr>
              <w:t>2</w:t>
            </w:r>
            <w:r>
              <w:rPr>
                <w:rFonts w:hint="eastAsia" w:ascii="楷体" w:hAnsi="楷体" w:eastAsia="楷体" w:cs="宋体"/>
                <w:b/>
                <w:spacing w:val="-2"/>
                <w:sz w:val="21"/>
                <w:szCs w:val="21"/>
                <w:u w:val="single"/>
              </w:rPr>
              <w:t>个工作日发布调整公告，如有调整以管理人公告为准。调整后的产品业绩比较基准适用于新确认份额，为管理人新设定的投资目标。</w:t>
            </w:r>
          </w:p>
          <w:p>
            <w:pPr>
              <w:pStyle w:val="33"/>
              <w:spacing w:before="37" w:line="273" w:lineRule="auto"/>
              <w:ind w:left="103" w:right="103"/>
              <w:rPr>
                <w:rFonts w:ascii="楷体" w:hAnsi="楷体" w:eastAsia="楷体" w:cs="宋体"/>
                <w:spacing w:val="-2"/>
                <w:sz w:val="21"/>
                <w:szCs w:val="21"/>
              </w:rPr>
            </w:pPr>
            <w:r>
              <w:rPr>
                <w:rFonts w:hint="eastAsia" w:ascii="楷体" w:hAnsi="楷体" w:eastAsia="楷体" w:cs="宋体"/>
                <w:spacing w:val="-2"/>
                <w:sz w:val="21"/>
                <w:szCs w:val="21"/>
              </w:rPr>
              <w:t>（管理人</w:t>
            </w:r>
            <w:r>
              <w:rPr>
                <w:rFonts w:ascii="楷体" w:hAnsi="楷体" w:eastAsia="楷体" w:cs="宋体"/>
                <w:spacing w:val="-2"/>
                <w:sz w:val="21"/>
                <w:szCs w:val="21"/>
              </w:rPr>
              <w:t>参考过往投资经验，依据近期货币市场工具、债券等资产</w:t>
            </w:r>
            <w:r>
              <w:rPr>
                <w:rFonts w:hint="eastAsia" w:ascii="楷体" w:hAnsi="楷体" w:eastAsia="楷体" w:cs="宋体"/>
                <w:spacing w:val="-2"/>
                <w:sz w:val="21"/>
                <w:szCs w:val="21"/>
              </w:rPr>
              <w:t>投资</w:t>
            </w:r>
            <w:r>
              <w:rPr>
                <w:rFonts w:ascii="楷体" w:hAnsi="楷体" w:eastAsia="楷体" w:cs="宋体"/>
                <w:spacing w:val="-2"/>
                <w:sz w:val="21"/>
                <w:szCs w:val="21"/>
              </w:rPr>
              <w:t>收益水平，在产品说明书约定的投资范围和投资比例内</w:t>
            </w:r>
            <w:r>
              <w:rPr>
                <w:rFonts w:hint="eastAsia" w:ascii="楷体" w:hAnsi="楷体" w:eastAsia="楷体" w:cs="宋体"/>
                <w:spacing w:val="-2"/>
                <w:sz w:val="21"/>
                <w:szCs w:val="21"/>
              </w:rPr>
              <w:t>，综合考虑各份额收取的</w:t>
            </w:r>
            <w:r>
              <w:rPr>
                <w:rFonts w:hint="eastAsia" w:ascii="楷体" w:hAnsi="楷体" w:eastAsia="楷体" w:cs="宋体"/>
                <w:spacing w:val="-2"/>
                <w:sz w:val="21"/>
                <w:szCs w:val="21"/>
                <w:lang w:val="en-US" w:eastAsia="zh-CN"/>
              </w:rPr>
              <w:t>费用</w:t>
            </w:r>
            <w:r>
              <w:rPr>
                <w:rFonts w:hint="eastAsia" w:ascii="楷体" w:hAnsi="楷体" w:eastAsia="楷体" w:cs="宋体"/>
                <w:spacing w:val="-2"/>
                <w:sz w:val="21"/>
                <w:szCs w:val="21"/>
              </w:rPr>
              <w:t>情况，</w:t>
            </w:r>
            <w:r>
              <w:rPr>
                <w:rFonts w:ascii="楷体" w:hAnsi="楷体" w:eastAsia="楷体" w:cs="宋体"/>
                <w:spacing w:val="-2"/>
                <w:sz w:val="21"/>
                <w:szCs w:val="21"/>
              </w:rPr>
              <w:t>模拟测算得出</w:t>
            </w:r>
            <w:r>
              <w:rPr>
                <w:rFonts w:hint="eastAsia" w:ascii="楷体" w:hAnsi="楷体" w:eastAsia="楷体" w:cs="宋体"/>
                <w:spacing w:val="-2"/>
                <w:sz w:val="21"/>
                <w:szCs w:val="21"/>
              </w:rPr>
              <w:t>业绩比较基准。）</w:t>
            </w:r>
          </w:p>
          <w:p>
            <w:pPr>
              <w:pStyle w:val="33"/>
              <w:kinsoku w:val="0"/>
              <w:overflowPunct w:val="0"/>
              <w:spacing w:before="37" w:line="273" w:lineRule="auto"/>
              <w:ind w:right="103"/>
              <w:rPr>
                <w:rFonts w:ascii="楷体" w:hAnsi="楷体" w:eastAsia="楷体" w:cs="宋体"/>
                <w:spacing w:val="-2"/>
                <w:sz w:val="21"/>
                <w:szCs w:val="21"/>
              </w:rPr>
            </w:pPr>
            <w:r>
              <w:rPr>
                <w:rFonts w:hint="eastAsia" w:ascii="楷体" w:hAnsi="楷体" w:eastAsia="楷体" w:cs="宋体"/>
                <w:b/>
                <w:spacing w:val="-2"/>
                <w:sz w:val="21"/>
                <w:szCs w:val="21"/>
                <w:u w:val="single"/>
              </w:rPr>
              <w:t>本产品为净值型产品，业绩表现将随市场波动，具有不确定性。业绩比较基准为管理人对本产品所设定的投资目标，不代表理财产品未来表现，不等于理财产品实际收益，不构成管理人对产品实际投资收益率的承诺或担保，投资者的实际收益由产品净值表现决定。产品存续期内管理人有权根据市场情况调整业绩比较基准，如有调整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48" w:type="dxa"/>
            <w:noWrap w:val="0"/>
            <w:vAlign w:val="center"/>
          </w:tcPr>
          <w:p>
            <w:pPr>
              <w:pStyle w:val="33"/>
              <w:kinsoku w:val="0"/>
              <w:overflowPunct w:val="0"/>
              <w:spacing w:before="18"/>
              <w:ind w:left="4"/>
              <w:rPr>
                <w:rFonts w:ascii="楷体" w:hAnsi="楷体" w:eastAsia="楷体" w:cs="宋体"/>
                <w:spacing w:val="-2"/>
                <w:sz w:val="21"/>
                <w:szCs w:val="21"/>
              </w:rPr>
            </w:pPr>
            <w:r>
              <w:rPr>
                <w:rFonts w:hint="eastAsia" w:ascii="楷体" w:hAnsi="楷体" w:eastAsia="楷体" w:cs="宋体"/>
                <w:b/>
                <w:spacing w:val="-2"/>
                <w:sz w:val="21"/>
                <w:szCs w:val="21"/>
              </w:rPr>
              <w:t>产品费用</w:t>
            </w:r>
          </w:p>
        </w:tc>
        <w:tc>
          <w:tcPr>
            <w:tcW w:w="6468" w:type="dxa"/>
            <w:noWrap w:val="0"/>
            <w:vAlign w:val="center"/>
          </w:tcPr>
          <w:p>
            <w:pPr>
              <w:jc w:val="left"/>
              <w:rPr>
                <w:rFonts w:ascii="楷体" w:hAnsi="楷体" w:eastAsia="楷体" w:cs="宋体"/>
                <w:spacing w:val="-2"/>
                <w:szCs w:val="21"/>
              </w:rPr>
            </w:pPr>
            <w:r>
              <w:rPr>
                <w:rFonts w:hint="eastAsia" w:ascii="楷体" w:hAnsi="楷体" w:eastAsia="楷体" w:cs="宋体"/>
                <w:spacing w:val="-2"/>
                <w:szCs w:val="21"/>
              </w:rPr>
              <w:t>本产品费用包括托管费、销售服务费、投资管理费和超额业绩报酬（若有）以及产品运作和清算中产生的其他费用等。</w:t>
            </w:r>
          </w:p>
          <w:p>
            <w:pPr>
              <w:ind w:right="115" w:rightChars="55"/>
              <w:rPr>
                <w:rFonts w:ascii="楷体" w:hAnsi="楷体" w:eastAsia="楷体" w:cs="宋体"/>
                <w:spacing w:val="-2"/>
                <w:szCs w:val="21"/>
              </w:rPr>
            </w:pPr>
            <w:r>
              <w:rPr>
                <w:rFonts w:hint="eastAsia" w:ascii="楷体" w:hAnsi="楷体" w:eastAsia="楷体" w:cs="宋体"/>
                <w:spacing w:val="-2"/>
                <w:szCs w:val="21"/>
              </w:rPr>
              <w:t>1．托管费率：0.</w:t>
            </w:r>
            <w:r>
              <w:rPr>
                <w:rFonts w:ascii="楷体" w:hAnsi="楷体" w:eastAsia="楷体" w:cs="宋体"/>
                <w:spacing w:val="-2"/>
                <w:szCs w:val="21"/>
              </w:rPr>
              <w:t>02</w:t>
            </w:r>
            <w:r>
              <w:rPr>
                <w:rFonts w:hint="eastAsia" w:ascii="楷体" w:hAnsi="楷体" w:eastAsia="楷体" w:cs="宋体"/>
                <w:spacing w:val="-2"/>
                <w:szCs w:val="21"/>
              </w:rPr>
              <w:t>%/年；</w:t>
            </w:r>
          </w:p>
          <w:p>
            <w:pPr>
              <w:ind w:right="115" w:rightChars="55"/>
              <w:rPr>
                <w:rFonts w:ascii="楷体" w:hAnsi="楷体" w:eastAsia="楷体" w:cs="宋体"/>
                <w:spacing w:val="-2"/>
                <w:szCs w:val="21"/>
              </w:rPr>
            </w:pPr>
            <w:r>
              <w:rPr>
                <w:rFonts w:hint="eastAsia" w:ascii="楷体" w:hAnsi="楷体" w:eastAsia="楷体" w:cs="宋体"/>
                <w:spacing w:val="-2"/>
                <w:szCs w:val="21"/>
              </w:rPr>
              <w:t>2．销售服务费率：</w:t>
            </w:r>
            <w:r>
              <w:rPr>
                <w:rFonts w:hint="eastAsia" w:ascii="楷体" w:hAnsi="楷体" w:eastAsia="楷体" w:cs="宋体"/>
                <w:spacing w:val="-2"/>
                <w:sz w:val="21"/>
                <w:szCs w:val="21"/>
                <w:lang w:val="en-US" w:eastAsia="zh-CN"/>
              </w:rPr>
              <w:t>JS份额0.20%/年，其他份额为</w:t>
            </w:r>
            <w:r>
              <w:rPr>
                <w:rFonts w:hint="eastAsia" w:ascii="楷体" w:hAnsi="楷体" w:eastAsia="楷体" w:cs="宋体"/>
                <w:spacing w:val="-2"/>
                <w:szCs w:val="21"/>
              </w:rPr>
              <w:t>0.</w:t>
            </w:r>
            <w:r>
              <w:rPr>
                <w:rFonts w:hint="eastAsia" w:ascii="楷体" w:hAnsi="楷体" w:eastAsia="楷体" w:cs="宋体"/>
                <w:spacing w:val="-2"/>
                <w:szCs w:val="21"/>
                <w:lang w:val="en-US" w:eastAsia="zh-CN"/>
              </w:rPr>
              <w:t>3</w:t>
            </w:r>
            <w:r>
              <w:rPr>
                <w:rFonts w:hint="eastAsia" w:ascii="楷体" w:hAnsi="楷体" w:eastAsia="楷体" w:cs="宋体"/>
                <w:spacing w:val="-2"/>
                <w:szCs w:val="21"/>
              </w:rPr>
              <w:t>0%/年；</w:t>
            </w:r>
          </w:p>
          <w:p>
            <w:pPr>
              <w:ind w:right="115" w:rightChars="55"/>
              <w:rPr>
                <w:rFonts w:hint="eastAsia" w:ascii="楷体" w:hAnsi="楷体" w:eastAsia="楷体" w:cs="宋体"/>
                <w:spacing w:val="-2"/>
                <w:szCs w:val="21"/>
              </w:rPr>
            </w:pPr>
            <w:r>
              <w:rPr>
                <w:rFonts w:hint="eastAsia" w:ascii="楷体" w:hAnsi="楷体" w:eastAsia="楷体" w:cs="宋体"/>
                <w:spacing w:val="-2"/>
                <w:szCs w:val="21"/>
              </w:rPr>
              <w:t>3．投资管理费率：0.50%/年。</w:t>
            </w:r>
          </w:p>
          <w:p>
            <w:pPr>
              <w:ind w:right="115" w:rightChars="55"/>
              <w:rPr>
                <w:rFonts w:hint="eastAsia" w:ascii="楷体" w:hAnsi="楷体" w:eastAsia="楷体" w:cs="宋体"/>
                <w:spacing w:val="-2"/>
                <w:szCs w:val="21"/>
              </w:rPr>
            </w:pPr>
            <w:r>
              <w:rPr>
                <w:rFonts w:hint="eastAsia" w:ascii="楷体" w:hAnsi="楷体" w:eastAsia="楷体" w:cs="宋体"/>
                <w:spacing w:val="-2"/>
                <w:szCs w:val="21"/>
              </w:rPr>
              <w:t>4. 超额业绩报酬：客户份额持有期间净值增长率</w:t>
            </w:r>
            <w:r>
              <w:rPr>
                <w:rFonts w:hint="eastAsia" w:ascii="楷体" w:hAnsi="楷体" w:eastAsia="楷体" w:cs="宋体"/>
                <w:spacing w:val="-2"/>
                <w:szCs w:val="21"/>
                <w:lang w:val="en-US" w:eastAsia="zh-CN"/>
              </w:rPr>
              <w:t>为r，</w:t>
            </w:r>
            <w:r>
              <w:rPr>
                <w:rFonts w:hint="eastAsia" w:ascii="楷体" w:hAnsi="楷体" w:eastAsia="楷体" w:cs="宋体"/>
                <w:spacing w:val="-2"/>
                <w:szCs w:val="21"/>
              </w:rPr>
              <w:t>依据份额确认时产品单位净值、份额赎回时产品单位净值、客户份额实际运作天数折算为年化收益率（1年按365天计算）</w:t>
            </w:r>
            <w:r>
              <w:rPr>
                <w:rFonts w:hint="eastAsia" w:ascii="楷体" w:hAnsi="楷体" w:eastAsia="楷体" w:cs="宋体"/>
                <w:spacing w:val="-2"/>
                <w:szCs w:val="21"/>
                <w:lang w:eastAsia="zh-CN"/>
              </w:rPr>
              <w:t>。</w:t>
            </w:r>
            <w:r>
              <w:rPr>
                <w:rFonts w:hint="eastAsia" w:ascii="楷体" w:hAnsi="楷体" w:eastAsia="楷体" w:cs="宋体"/>
                <w:spacing w:val="-2"/>
                <w:szCs w:val="21"/>
                <w:lang w:val="en-US" w:eastAsia="zh-CN"/>
              </w:rPr>
              <w:t>若r低于业绩比较基准下限，管理人不收取超额业绩报酬；若【业绩比较基准下限≤r&lt;业绩比较基准下限+</w:t>
            </w:r>
            <w:r>
              <w:rPr>
                <w:rFonts w:hint="eastAsia" w:ascii="楷体" w:hAnsi="楷体" w:eastAsia="楷体" w:cs="宋体"/>
                <w:spacing w:val="-2"/>
                <w:szCs w:val="21"/>
              </w:rPr>
              <w:t>（业绩比较基准上限-业绩比较基准下限）</w:t>
            </w:r>
            <w:r>
              <w:rPr>
                <w:rFonts w:hint="eastAsia" w:ascii="楷体" w:hAnsi="楷体" w:eastAsia="楷体" w:cs="宋体"/>
                <w:spacing w:val="-2"/>
                <w:szCs w:val="21"/>
                <w:lang w:val="en-US" w:eastAsia="zh-CN"/>
              </w:rPr>
              <w:t>*50%】，</w:t>
            </w:r>
            <w:r>
              <w:rPr>
                <w:rFonts w:hint="eastAsia" w:ascii="楷体" w:hAnsi="楷体" w:eastAsia="楷体" w:cs="宋体"/>
                <w:spacing w:val="-2"/>
                <w:szCs w:val="21"/>
              </w:rPr>
              <w:t>管理人对超出</w:t>
            </w:r>
            <w:r>
              <w:rPr>
                <w:rFonts w:hint="eastAsia" w:ascii="楷体" w:hAnsi="楷体" w:eastAsia="楷体" w:cs="宋体"/>
                <w:spacing w:val="-2"/>
                <w:szCs w:val="21"/>
                <w:lang w:val="en-US" w:eastAsia="zh-CN"/>
              </w:rPr>
              <w:t>业绩比较基准下限的</w:t>
            </w:r>
            <w:r>
              <w:rPr>
                <w:rFonts w:hint="eastAsia" w:ascii="楷体" w:hAnsi="楷体" w:eastAsia="楷体" w:cs="宋体"/>
                <w:spacing w:val="-2"/>
                <w:szCs w:val="21"/>
              </w:rPr>
              <w:t>部分收取</w:t>
            </w:r>
            <w:r>
              <w:rPr>
                <w:rFonts w:hint="eastAsia" w:ascii="楷体" w:hAnsi="楷体" w:eastAsia="楷体" w:cs="宋体"/>
                <w:spacing w:val="-2"/>
                <w:szCs w:val="21"/>
                <w:lang w:val="en-US" w:eastAsia="zh-CN"/>
              </w:rPr>
              <w:t>3</w:t>
            </w:r>
            <w:r>
              <w:rPr>
                <w:rFonts w:hint="eastAsia" w:ascii="楷体" w:hAnsi="楷体" w:eastAsia="楷体" w:cs="宋体"/>
                <w:spacing w:val="-2"/>
                <w:szCs w:val="21"/>
              </w:rPr>
              <w:t>0%的超额业绩报酬</w:t>
            </w:r>
            <w:r>
              <w:rPr>
                <w:rFonts w:hint="eastAsia" w:ascii="楷体" w:hAnsi="楷体" w:eastAsia="楷体" w:cs="宋体"/>
                <w:spacing w:val="-2"/>
                <w:szCs w:val="21"/>
                <w:lang w:eastAsia="zh-CN"/>
              </w:rPr>
              <w:t>；</w:t>
            </w:r>
            <w:r>
              <w:rPr>
                <w:rFonts w:hint="eastAsia" w:ascii="楷体" w:hAnsi="楷体" w:eastAsia="楷体" w:cs="宋体"/>
                <w:spacing w:val="-2"/>
                <w:szCs w:val="21"/>
                <w:lang w:val="en-US" w:eastAsia="zh-CN"/>
              </w:rPr>
              <w:t>若【r≥业绩比较基准下限+</w:t>
            </w:r>
            <w:r>
              <w:rPr>
                <w:rFonts w:hint="eastAsia" w:ascii="楷体" w:hAnsi="楷体" w:eastAsia="楷体" w:cs="宋体"/>
                <w:spacing w:val="-2"/>
                <w:szCs w:val="21"/>
              </w:rPr>
              <w:t>（业绩比较基准上限-业绩比较基准下限）</w:t>
            </w:r>
            <w:r>
              <w:rPr>
                <w:rFonts w:hint="eastAsia" w:ascii="楷体" w:hAnsi="楷体" w:eastAsia="楷体" w:cs="宋体"/>
                <w:spacing w:val="-2"/>
                <w:szCs w:val="21"/>
                <w:lang w:val="en-US" w:eastAsia="zh-CN"/>
              </w:rPr>
              <w:t>*50%】，管理人对超出业绩比较基准下限的部分收取30%的超额业绩报酬，并对超出【业绩比较基准下限+</w:t>
            </w:r>
            <w:r>
              <w:rPr>
                <w:rFonts w:hint="eastAsia" w:ascii="楷体" w:hAnsi="楷体" w:eastAsia="楷体" w:cs="宋体"/>
                <w:spacing w:val="-2"/>
                <w:szCs w:val="21"/>
              </w:rPr>
              <w:t>（业绩比较基准上限-业绩比较基准下限）</w:t>
            </w:r>
            <w:r>
              <w:rPr>
                <w:rFonts w:hint="eastAsia" w:ascii="楷体" w:hAnsi="楷体" w:eastAsia="楷体" w:cs="宋体"/>
                <w:spacing w:val="-2"/>
                <w:szCs w:val="21"/>
                <w:lang w:val="en-US" w:eastAsia="zh-CN"/>
              </w:rPr>
              <w:t>*50%】的部分收取50%的超额业绩报酬。</w:t>
            </w:r>
          </w:p>
          <w:p>
            <w:pPr>
              <w:ind w:right="115" w:rightChars="55"/>
              <w:rPr>
                <w:rFonts w:ascii="楷体" w:hAnsi="楷体" w:eastAsia="楷体"/>
                <w:sz w:val="24"/>
                <w:szCs w:val="24"/>
              </w:rPr>
            </w:pPr>
            <w:r>
              <w:rPr>
                <w:rFonts w:hint="eastAsia" w:ascii="楷体" w:hAnsi="楷体" w:eastAsia="楷体" w:cs="宋体"/>
                <w:spacing w:val="-2"/>
                <w:szCs w:val="21"/>
                <w:highlight w:val="none"/>
              </w:rPr>
              <w:t>产品存续期内</w:t>
            </w:r>
            <w:r>
              <w:rPr>
                <w:rFonts w:hint="eastAsia" w:ascii="楷体" w:hAnsi="楷体" w:eastAsia="楷体" w:cs="宋体"/>
                <w:spacing w:val="-2"/>
                <w:szCs w:val="21"/>
                <w:highlight w:val="none"/>
                <w:lang w:eastAsia="zh-CN"/>
              </w:rPr>
              <w:t>，</w:t>
            </w:r>
            <w:r>
              <w:rPr>
                <w:rFonts w:hint="eastAsia" w:ascii="楷体" w:hAnsi="楷体" w:eastAsia="楷体" w:cs="宋体"/>
                <w:spacing w:val="-2"/>
                <w:szCs w:val="21"/>
                <w:highlight w:val="none"/>
                <w:lang w:val="en-US" w:eastAsia="zh-CN"/>
              </w:rPr>
              <w:t>若市场情况发生重大变化，或因维护本产品正常运作需要等情形，</w:t>
            </w:r>
            <w:r>
              <w:rPr>
                <w:rFonts w:hint="eastAsia" w:ascii="楷体" w:hAnsi="楷体" w:eastAsia="楷体" w:cs="宋体"/>
                <w:spacing w:val="-2"/>
                <w:szCs w:val="21"/>
                <w:highlight w:val="none"/>
              </w:rPr>
              <w:t>苏银理财可对产品费用</w:t>
            </w:r>
            <w:r>
              <w:rPr>
                <w:rFonts w:hint="eastAsia" w:ascii="楷体" w:hAnsi="楷体" w:eastAsia="楷体" w:cs="宋体"/>
                <w:spacing w:val="-2"/>
                <w:szCs w:val="21"/>
                <w:highlight w:val="none"/>
                <w:lang w:val="en-US" w:eastAsia="zh-CN"/>
              </w:rPr>
              <w:t>进行调整</w:t>
            </w:r>
            <w:r>
              <w:rPr>
                <w:rFonts w:hint="eastAsia" w:ascii="楷体" w:hAnsi="楷体" w:eastAsia="楷体" w:cs="宋体"/>
                <w:spacing w:val="-2"/>
                <w:szCs w:val="21"/>
                <w:highlight w:val="none"/>
              </w:rPr>
              <w:t>，</w:t>
            </w:r>
            <w:r>
              <w:rPr>
                <w:rFonts w:hint="eastAsia" w:ascii="楷体" w:hAnsi="楷体" w:eastAsia="楷体" w:cs="宋体"/>
                <w:spacing w:val="-2"/>
                <w:szCs w:val="21"/>
                <w:highlight w:val="none"/>
                <w:lang w:val="en-US" w:eastAsia="zh-CN"/>
              </w:rPr>
              <w:t>管理人将提前2个工作日通过苏银理财有限责任公司官方网站（www.suyinwealth.com）以及销售机构进行公告</w:t>
            </w:r>
            <w:r>
              <w:rPr>
                <w:rFonts w:hint="eastAsia" w:ascii="楷体" w:hAnsi="楷体" w:eastAsia="楷体" w:cs="宋体"/>
                <w:spacing w:val="-2"/>
                <w:szCs w:val="21"/>
                <w:highlight w:val="none"/>
              </w:rPr>
              <w:t>。</w:t>
            </w:r>
          </w:p>
        </w:tc>
      </w:tr>
    </w:tbl>
    <w:p>
      <w:pPr>
        <w:numPr>
          <w:ilvl w:val="0"/>
          <w:numId w:val="3"/>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产品管理人</w:t>
      </w:r>
    </w:p>
    <w:p>
      <w:pPr>
        <w:ind w:firstLine="480" w:firstLineChars="200"/>
        <w:rPr>
          <w:rFonts w:ascii="楷体" w:hAnsi="楷体" w:eastAsia="楷体"/>
          <w:sz w:val="24"/>
          <w:szCs w:val="24"/>
        </w:rPr>
      </w:pPr>
      <w:r>
        <w:rPr>
          <w:rFonts w:hint="eastAsia" w:ascii="楷体" w:hAnsi="楷体" w:eastAsia="楷体"/>
          <w:sz w:val="24"/>
          <w:szCs w:val="24"/>
        </w:rPr>
        <w:t>本产品管理人为苏银理财有限责任公司，苏银理财系江苏银行股份有限公司全资控股的银行理财子公司。公司成立于2020年8月，注册资本为20亿元人民币，全部由江苏银行股份有限公司以货币资金认购并一次性足额缴纳。公司注册地为江苏省南京市。公司主要业务范围为：面向不特定社会公众公开发行理财产品，对受托的投资和财产进行投资和管理；面向合格投资者非公开发行理财产品，对受托的投资和财产进行投资和管理；理财顾问和咨询服务；经</w:t>
      </w:r>
      <w:r>
        <w:rPr>
          <w:rFonts w:hint="eastAsia" w:ascii="楷体" w:hAnsi="楷体" w:eastAsia="楷体"/>
          <w:sz w:val="24"/>
          <w:szCs w:val="24"/>
          <w:lang w:val="en-US" w:eastAsia="zh-CN"/>
        </w:rPr>
        <w:t>监管机构</w:t>
      </w:r>
      <w:r>
        <w:rPr>
          <w:rFonts w:hint="eastAsia" w:ascii="楷体" w:hAnsi="楷体" w:eastAsia="楷体"/>
          <w:sz w:val="24"/>
          <w:szCs w:val="24"/>
        </w:rPr>
        <w:t>批准的其他业务等。</w:t>
      </w:r>
    </w:p>
    <w:p>
      <w:pPr>
        <w:ind w:firstLine="480" w:firstLineChars="200"/>
        <w:rPr>
          <w:rFonts w:ascii="楷体" w:hAnsi="楷体" w:eastAsia="楷体"/>
          <w:sz w:val="24"/>
          <w:szCs w:val="24"/>
        </w:rPr>
      </w:pPr>
      <w:r>
        <w:rPr>
          <w:rFonts w:hint="eastAsia" w:ascii="楷体" w:hAnsi="楷体" w:eastAsia="楷体"/>
          <w:sz w:val="24"/>
          <w:szCs w:val="24"/>
        </w:rPr>
        <w:t>投资</w:t>
      </w:r>
      <w:r>
        <w:rPr>
          <w:rFonts w:ascii="楷体" w:hAnsi="楷体" w:eastAsia="楷体"/>
          <w:sz w:val="24"/>
          <w:szCs w:val="24"/>
        </w:rPr>
        <w:t>者</w:t>
      </w:r>
      <w:r>
        <w:rPr>
          <w:rFonts w:hint="eastAsia" w:ascii="楷体" w:hAnsi="楷体" w:eastAsia="楷体"/>
          <w:sz w:val="24"/>
          <w:szCs w:val="24"/>
        </w:rPr>
        <w:t>在此</w:t>
      </w:r>
      <w:r>
        <w:rPr>
          <w:rFonts w:ascii="楷体" w:hAnsi="楷体" w:eastAsia="楷体"/>
          <w:sz w:val="24"/>
          <w:szCs w:val="24"/>
        </w:rPr>
        <w:t>授权并同意苏银理财享有以下权利：</w:t>
      </w:r>
    </w:p>
    <w:p>
      <w:pPr>
        <w:numPr>
          <w:ilvl w:val="0"/>
          <w:numId w:val="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按照</w:t>
      </w:r>
      <w:r>
        <w:rPr>
          <w:rFonts w:ascii="楷体" w:hAnsi="楷体" w:eastAsia="楷体" w:cs="Calibri"/>
          <w:sz w:val="24"/>
          <w:szCs w:val="24"/>
        </w:rPr>
        <w:t>本理财产品合同</w:t>
      </w:r>
      <w:r>
        <w:rPr>
          <w:rFonts w:hint="eastAsia" w:ascii="楷体" w:hAnsi="楷体" w:eastAsia="楷体" w:cs="Calibri"/>
          <w:sz w:val="24"/>
          <w:szCs w:val="24"/>
        </w:rPr>
        <w:t>的</w:t>
      </w:r>
      <w:r>
        <w:rPr>
          <w:rFonts w:ascii="楷体" w:hAnsi="楷体" w:eastAsia="楷体" w:cs="Calibri"/>
          <w:sz w:val="24"/>
          <w:szCs w:val="24"/>
        </w:rPr>
        <w:t>约定，管理、运用和处分理财计划资金。</w:t>
      </w:r>
    </w:p>
    <w:p>
      <w:pPr>
        <w:numPr>
          <w:ilvl w:val="0"/>
          <w:numId w:val="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按照</w:t>
      </w:r>
      <w:r>
        <w:rPr>
          <w:rFonts w:ascii="楷体" w:hAnsi="楷体" w:eastAsia="楷体" w:cs="Calibri"/>
          <w:sz w:val="24"/>
          <w:szCs w:val="24"/>
        </w:rPr>
        <w:t>本理财</w:t>
      </w:r>
      <w:r>
        <w:rPr>
          <w:rFonts w:hint="eastAsia" w:ascii="楷体" w:hAnsi="楷体" w:eastAsia="楷体" w:cs="Calibri"/>
          <w:sz w:val="24"/>
          <w:szCs w:val="24"/>
        </w:rPr>
        <w:t>产品</w:t>
      </w:r>
      <w:r>
        <w:rPr>
          <w:rFonts w:ascii="楷体" w:hAnsi="楷体" w:eastAsia="楷体" w:cs="Calibri"/>
          <w:sz w:val="24"/>
          <w:szCs w:val="24"/>
        </w:rPr>
        <w:t>合同的约定，及时、足额获得投资管理费。</w:t>
      </w:r>
    </w:p>
    <w:p>
      <w:pPr>
        <w:numPr>
          <w:ilvl w:val="0"/>
          <w:numId w:val="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管理人</w:t>
      </w:r>
      <w:r>
        <w:rPr>
          <w:rFonts w:ascii="楷体" w:hAnsi="楷体" w:eastAsia="楷体" w:cs="Calibri"/>
          <w:sz w:val="24"/>
          <w:szCs w:val="24"/>
        </w:rPr>
        <w:t>有权根据本理财产品合同的约定提前终止</w:t>
      </w:r>
      <w:r>
        <w:rPr>
          <w:rFonts w:hint="eastAsia" w:ascii="楷体" w:hAnsi="楷体" w:eastAsia="楷体" w:cs="Calibri"/>
          <w:sz w:val="24"/>
          <w:szCs w:val="24"/>
        </w:rPr>
        <w:t>或</w:t>
      </w:r>
      <w:r>
        <w:rPr>
          <w:rFonts w:ascii="楷体" w:hAnsi="楷体" w:eastAsia="楷体" w:cs="Calibri"/>
          <w:sz w:val="24"/>
          <w:szCs w:val="24"/>
        </w:rPr>
        <w:t>延长</w:t>
      </w:r>
      <w:r>
        <w:rPr>
          <w:rFonts w:hint="eastAsia" w:ascii="楷体" w:hAnsi="楷体" w:eastAsia="楷体" w:cs="Calibri"/>
          <w:sz w:val="24"/>
          <w:szCs w:val="24"/>
        </w:rPr>
        <w:t>本</w:t>
      </w:r>
      <w:r>
        <w:rPr>
          <w:rFonts w:ascii="楷体" w:hAnsi="楷体" w:eastAsia="楷体" w:cs="Calibri"/>
          <w:sz w:val="24"/>
          <w:szCs w:val="24"/>
        </w:rPr>
        <w:t>理财产品的期限。</w:t>
      </w:r>
    </w:p>
    <w:p>
      <w:pPr>
        <w:numPr>
          <w:ilvl w:val="0"/>
          <w:numId w:val="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管理人</w:t>
      </w:r>
      <w:r>
        <w:rPr>
          <w:rFonts w:ascii="楷体" w:hAnsi="楷体" w:eastAsia="楷体" w:cs="Calibri"/>
          <w:sz w:val="24"/>
          <w:szCs w:val="24"/>
        </w:rPr>
        <w:t>有权</w:t>
      </w:r>
      <w:r>
        <w:rPr>
          <w:rFonts w:hint="eastAsia" w:ascii="楷体" w:hAnsi="楷体" w:eastAsia="楷体" w:cs="Calibri"/>
          <w:sz w:val="24"/>
          <w:szCs w:val="24"/>
        </w:rPr>
        <w:t>调整</w:t>
      </w:r>
      <w:r>
        <w:rPr>
          <w:rFonts w:ascii="楷体" w:hAnsi="楷体" w:eastAsia="楷体" w:cs="Calibri"/>
          <w:sz w:val="24"/>
          <w:szCs w:val="24"/>
        </w:rPr>
        <w:t>本</w:t>
      </w:r>
      <w:r>
        <w:rPr>
          <w:rFonts w:hint="eastAsia" w:ascii="楷体" w:hAnsi="楷体" w:eastAsia="楷体" w:cs="Calibri"/>
          <w:sz w:val="24"/>
          <w:szCs w:val="24"/>
        </w:rPr>
        <w:t>理财</w:t>
      </w:r>
      <w:r>
        <w:rPr>
          <w:rFonts w:ascii="楷体" w:hAnsi="楷体" w:eastAsia="楷体" w:cs="Calibri"/>
          <w:sz w:val="24"/>
          <w:szCs w:val="24"/>
        </w:rPr>
        <w:t>产品的认购规模</w:t>
      </w:r>
      <w:r>
        <w:rPr>
          <w:rFonts w:hint="eastAsia" w:ascii="楷体" w:hAnsi="楷体" w:eastAsia="楷体" w:cs="Calibri"/>
          <w:sz w:val="24"/>
          <w:szCs w:val="24"/>
        </w:rPr>
        <w:t>上限</w:t>
      </w:r>
      <w:r>
        <w:rPr>
          <w:rFonts w:ascii="楷体" w:hAnsi="楷体" w:eastAsia="楷体" w:cs="Calibri"/>
          <w:sz w:val="24"/>
          <w:szCs w:val="24"/>
        </w:rPr>
        <w:t>、认购起点、</w:t>
      </w:r>
      <w:r>
        <w:rPr>
          <w:rFonts w:hint="eastAsia" w:ascii="楷体" w:hAnsi="楷体" w:eastAsia="楷体" w:cs="Calibri"/>
          <w:sz w:val="24"/>
          <w:szCs w:val="24"/>
        </w:rPr>
        <w:t>认购</w:t>
      </w:r>
      <w:r>
        <w:rPr>
          <w:rFonts w:ascii="楷体" w:hAnsi="楷体" w:eastAsia="楷体" w:cs="Calibri"/>
          <w:sz w:val="24"/>
          <w:szCs w:val="24"/>
        </w:rPr>
        <w:t>金额上限、认购资金的最</w:t>
      </w:r>
      <w:r>
        <w:rPr>
          <w:rFonts w:hint="eastAsia" w:ascii="楷体" w:hAnsi="楷体" w:eastAsia="楷体" w:cs="Calibri"/>
          <w:sz w:val="24"/>
          <w:szCs w:val="24"/>
          <w:lang w:val="en-US" w:eastAsia="zh-CN"/>
        </w:rPr>
        <w:t>低</w:t>
      </w:r>
      <w:r>
        <w:rPr>
          <w:rFonts w:ascii="楷体" w:hAnsi="楷体" w:eastAsia="楷体" w:cs="Calibri"/>
          <w:sz w:val="24"/>
          <w:szCs w:val="24"/>
        </w:rPr>
        <w:t>金额等</w:t>
      </w:r>
      <w:r>
        <w:rPr>
          <w:rFonts w:hint="eastAsia" w:ascii="楷体" w:hAnsi="楷体" w:eastAsia="楷体" w:cs="Calibri"/>
          <w:sz w:val="24"/>
          <w:szCs w:val="24"/>
        </w:rPr>
        <w:t>要素</w:t>
      </w:r>
      <w:r>
        <w:rPr>
          <w:rFonts w:ascii="楷体" w:hAnsi="楷体" w:eastAsia="楷体" w:cs="Calibri"/>
          <w:sz w:val="24"/>
          <w:szCs w:val="24"/>
        </w:rPr>
        <w:t>。</w:t>
      </w:r>
    </w:p>
    <w:p>
      <w:pPr>
        <w:numPr>
          <w:ilvl w:val="0"/>
          <w:numId w:val="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管理人</w:t>
      </w:r>
      <w:r>
        <w:rPr>
          <w:rFonts w:ascii="楷体" w:hAnsi="楷体" w:eastAsia="楷体" w:cs="Calibri"/>
          <w:sz w:val="24"/>
          <w:szCs w:val="24"/>
        </w:rPr>
        <w:t>有权依照法律规定和监管机构的要求将投资者的信息向有权部门或相关机构披露。</w:t>
      </w:r>
    </w:p>
    <w:p>
      <w:pPr>
        <w:numPr>
          <w:ilvl w:val="0"/>
          <w:numId w:val="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以</w:t>
      </w:r>
      <w:r>
        <w:rPr>
          <w:rFonts w:ascii="楷体" w:hAnsi="楷体" w:eastAsia="楷体" w:cs="Calibri"/>
          <w:sz w:val="24"/>
          <w:szCs w:val="24"/>
        </w:rPr>
        <w:t>理财产品投资管理人的名义，依照法律法规相关规定以及为理财产品的利益，对被投资的各类基金、公司/</w:t>
      </w:r>
      <w:r>
        <w:rPr>
          <w:rFonts w:hint="eastAsia" w:ascii="楷体" w:hAnsi="楷体" w:eastAsia="楷体" w:cs="Calibri"/>
          <w:sz w:val="24"/>
          <w:szCs w:val="24"/>
        </w:rPr>
        <w:t>企业</w:t>
      </w:r>
      <w:r>
        <w:rPr>
          <w:rFonts w:ascii="楷体" w:hAnsi="楷体" w:eastAsia="楷体" w:cs="Calibri"/>
          <w:sz w:val="24"/>
          <w:szCs w:val="24"/>
        </w:rPr>
        <w:t>等</w:t>
      </w:r>
      <w:r>
        <w:rPr>
          <w:rFonts w:hint="eastAsia" w:ascii="楷体" w:hAnsi="楷体" w:eastAsia="楷体" w:cs="Calibri"/>
          <w:sz w:val="24"/>
          <w:szCs w:val="24"/>
        </w:rPr>
        <w:t>行使</w:t>
      </w:r>
      <w:r>
        <w:rPr>
          <w:rFonts w:ascii="楷体" w:hAnsi="楷体" w:eastAsia="楷体" w:cs="Calibri"/>
          <w:sz w:val="24"/>
          <w:szCs w:val="24"/>
        </w:rPr>
        <w:t>出资人</w:t>
      </w:r>
      <w:r>
        <w:rPr>
          <w:rFonts w:hint="eastAsia" w:ascii="楷体" w:hAnsi="楷体" w:eastAsia="楷体" w:cs="Calibri"/>
          <w:sz w:val="24"/>
          <w:szCs w:val="24"/>
        </w:rPr>
        <w:t>/投资者</w:t>
      </w:r>
      <w:r>
        <w:rPr>
          <w:rFonts w:ascii="楷体" w:hAnsi="楷体" w:eastAsia="楷体" w:cs="Calibri"/>
          <w:sz w:val="24"/>
          <w:szCs w:val="24"/>
        </w:rPr>
        <w:t>权利（</w:t>
      </w:r>
      <w:r>
        <w:rPr>
          <w:rFonts w:hint="eastAsia" w:ascii="楷体" w:hAnsi="楷体" w:eastAsia="楷体" w:cs="Calibri"/>
          <w:sz w:val="24"/>
          <w:szCs w:val="24"/>
        </w:rPr>
        <w:t>包括</w:t>
      </w:r>
      <w:r>
        <w:rPr>
          <w:rFonts w:ascii="楷体" w:hAnsi="楷体" w:eastAsia="楷体" w:cs="Calibri"/>
          <w:sz w:val="24"/>
          <w:szCs w:val="24"/>
        </w:rPr>
        <w:t>但不限于表决投票的权利）</w:t>
      </w:r>
      <w:r>
        <w:rPr>
          <w:rFonts w:hint="eastAsia" w:ascii="楷体" w:hAnsi="楷体" w:eastAsia="楷体" w:cs="Calibri"/>
          <w:sz w:val="24"/>
          <w:szCs w:val="24"/>
        </w:rPr>
        <w:t>以及行使</w:t>
      </w:r>
      <w:r>
        <w:rPr>
          <w:rFonts w:ascii="楷体" w:hAnsi="楷体" w:eastAsia="楷体" w:cs="Calibri"/>
          <w:sz w:val="24"/>
          <w:szCs w:val="24"/>
        </w:rPr>
        <w:t>因理财产品投资于证券类基础资产（</w:t>
      </w:r>
      <w:r>
        <w:rPr>
          <w:rFonts w:hint="eastAsia" w:ascii="楷体" w:hAnsi="楷体" w:eastAsia="楷体" w:cs="Calibri"/>
          <w:sz w:val="24"/>
          <w:szCs w:val="24"/>
        </w:rPr>
        <w:t>含</w:t>
      </w:r>
      <w:r>
        <w:rPr>
          <w:rFonts w:ascii="楷体" w:hAnsi="楷体" w:eastAsia="楷体" w:cs="Calibri"/>
          <w:sz w:val="24"/>
          <w:szCs w:val="24"/>
        </w:rPr>
        <w:t>债券）</w:t>
      </w:r>
      <w:r>
        <w:rPr>
          <w:rFonts w:hint="eastAsia" w:ascii="楷体" w:hAnsi="楷体" w:eastAsia="楷体" w:cs="Calibri"/>
          <w:sz w:val="24"/>
          <w:szCs w:val="24"/>
        </w:rPr>
        <w:t>或</w:t>
      </w:r>
      <w:r>
        <w:rPr>
          <w:rFonts w:ascii="楷体" w:hAnsi="楷体" w:eastAsia="楷体" w:cs="Calibri"/>
          <w:sz w:val="24"/>
          <w:szCs w:val="24"/>
        </w:rPr>
        <w:t>其他基础资产（</w:t>
      </w:r>
      <w:r>
        <w:rPr>
          <w:rFonts w:hint="eastAsia" w:ascii="楷体" w:hAnsi="楷体" w:eastAsia="楷体" w:cs="Calibri"/>
          <w:sz w:val="24"/>
          <w:szCs w:val="24"/>
        </w:rPr>
        <w:t>包括</w:t>
      </w:r>
      <w:r>
        <w:rPr>
          <w:rFonts w:ascii="楷体" w:hAnsi="楷体" w:eastAsia="楷体" w:cs="Calibri"/>
          <w:sz w:val="24"/>
          <w:szCs w:val="24"/>
        </w:rPr>
        <w:t>但不限于债权类资产）</w:t>
      </w:r>
      <w:r>
        <w:rPr>
          <w:rFonts w:hint="eastAsia" w:ascii="楷体" w:hAnsi="楷体" w:eastAsia="楷体" w:cs="Calibri"/>
          <w:sz w:val="24"/>
          <w:szCs w:val="24"/>
        </w:rPr>
        <w:t>所产生</w:t>
      </w:r>
      <w:r>
        <w:rPr>
          <w:rFonts w:ascii="楷体" w:hAnsi="楷体" w:eastAsia="楷体" w:cs="Calibri"/>
          <w:sz w:val="24"/>
          <w:szCs w:val="24"/>
        </w:rPr>
        <w:t>的相关权利。</w:t>
      </w:r>
    </w:p>
    <w:p>
      <w:pPr>
        <w:numPr>
          <w:ilvl w:val="0"/>
          <w:numId w:val="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以</w:t>
      </w:r>
      <w:r>
        <w:rPr>
          <w:rFonts w:ascii="楷体" w:hAnsi="楷体" w:eastAsia="楷体" w:cs="Calibri"/>
          <w:sz w:val="24"/>
          <w:szCs w:val="24"/>
        </w:rPr>
        <w:t>理财产品投资管理人的名义，依照</w:t>
      </w:r>
      <w:r>
        <w:rPr>
          <w:rFonts w:hint="eastAsia" w:ascii="楷体" w:hAnsi="楷体" w:eastAsia="楷体" w:cs="Calibri"/>
          <w:sz w:val="24"/>
          <w:szCs w:val="24"/>
        </w:rPr>
        <w:t>法律法规相关规定以及代表理财产品份额持有人的利益行使代为追索的权利（包括但不限于提起诉讼/仲裁、申请保全/执行的权利）或者实施其他法律行为。</w:t>
      </w:r>
    </w:p>
    <w:p>
      <w:pPr>
        <w:numPr>
          <w:ilvl w:val="0"/>
          <w:numId w:val="4"/>
        </w:numPr>
        <w:tabs>
          <w:tab w:val="left" w:pos="728"/>
        </w:tabs>
        <w:ind w:left="0" w:firstLine="480" w:firstLineChars="200"/>
        <w:rPr>
          <w:rFonts w:hint="eastAsia" w:ascii="楷体" w:hAnsi="楷体" w:eastAsia="楷体"/>
          <w:sz w:val="24"/>
          <w:szCs w:val="24"/>
        </w:rPr>
      </w:pPr>
      <w:r>
        <w:rPr>
          <w:rFonts w:hint="eastAsia" w:ascii="楷体" w:hAnsi="楷体" w:eastAsia="楷体" w:cs="Calibri"/>
          <w:sz w:val="24"/>
          <w:szCs w:val="24"/>
        </w:rPr>
        <w:t>法律法规、监管政策和本理财计划文件约定的其他权利。</w:t>
      </w:r>
    </w:p>
    <w:p>
      <w:pPr>
        <w:numPr>
          <w:ilvl w:val="0"/>
          <w:numId w:val="3"/>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销售机构</w:t>
      </w:r>
    </w:p>
    <w:p>
      <w:pPr>
        <w:ind w:firstLine="480" w:firstLineChars="200"/>
        <w:rPr>
          <w:rFonts w:hint="eastAsia" w:ascii="楷体" w:hAnsi="楷体" w:eastAsia="楷体"/>
          <w:b w:val="0"/>
          <w:bCs w:val="0"/>
          <w:sz w:val="24"/>
          <w:szCs w:val="24"/>
          <w:highlight w:val="yellow"/>
          <w:u w:val="none"/>
          <w:lang w:val="en-US" w:eastAsia="zh-CN"/>
        </w:rPr>
      </w:pPr>
      <w:r>
        <w:rPr>
          <w:rFonts w:hint="eastAsia" w:ascii="楷体" w:hAnsi="楷体" w:eastAsia="楷体"/>
          <w:sz w:val="24"/>
          <w:szCs w:val="24"/>
        </w:rPr>
        <w:t>本产品可以通过商业银行、农村合作银行、村镇银行、农村信用合作社等吸收公众存款的银行业金融机构，或者国务院银行业监督管理机构认可的其他机构进行销售。</w:t>
      </w:r>
      <w:r>
        <w:rPr>
          <w:rFonts w:hint="eastAsia" w:ascii="楷体" w:hAnsi="楷体" w:eastAsia="楷体"/>
          <w:b/>
          <w:sz w:val="24"/>
          <w:szCs w:val="24"/>
          <w:u w:val="single"/>
        </w:rPr>
        <w:t>销售机构负责</w:t>
      </w:r>
      <w:r>
        <w:rPr>
          <w:rFonts w:ascii="楷体" w:hAnsi="楷体" w:eastAsia="楷体"/>
          <w:b/>
          <w:sz w:val="24"/>
          <w:szCs w:val="24"/>
          <w:u w:val="single"/>
        </w:rPr>
        <w:t>理财产品宣传推广、投资者风险承受能力评估和投资者适当性管理、理财产品客户身份识别及反洗钱</w:t>
      </w:r>
      <w:r>
        <w:rPr>
          <w:rFonts w:hint="eastAsia" w:ascii="楷体" w:hAnsi="楷体" w:eastAsia="楷体"/>
          <w:b/>
          <w:sz w:val="24"/>
          <w:szCs w:val="24"/>
          <w:u w:val="single"/>
        </w:rPr>
        <w:t>、反恐怖融资及非居民金融账户涉税信息</w:t>
      </w:r>
      <w:r>
        <w:rPr>
          <w:rFonts w:ascii="楷体" w:hAnsi="楷体" w:eastAsia="楷体"/>
          <w:b/>
          <w:sz w:val="24"/>
          <w:szCs w:val="24"/>
          <w:u w:val="single"/>
        </w:rPr>
        <w:t>调查、理财产品份额认购/申购/赎回、协助管理人与投资者订立理财产品合同、协助投资者与管理人沟通、接受投资者咨询和客户维护等销售服务</w:t>
      </w:r>
      <w:r>
        <w:rPr>
          <w:rFonts w:hint="eastAsia" w:ascii="楷体" w:hAnsi="楷体" w:eastAsia="楷体"/>
          <w:b/>
          <w:sz w:val="24"/>
          <w:szCs w:val="24"/>
          <w:u w:val="single"/>
        </w:rPr>
        <w:t>工作。</w:t>
      </w:r>
      <w:r>
        <w:rPr>
          <w:rFonts w:hint="eastAsia" w:ascii="楷体" w:hAnsi="楷体" w:eastAsia="楷体"/>
          <w:b/>
          <w:sz w:val="24"/>
          <w:szCs w:val="24"/>
          <w:u w:val="single"/>
          <w:lang w:val="en-US" w:eastAsia="zh-CN"/>
        </w:rPr>
        <w:t>销售</w:t>
      </w:r>
      <w:r>
        <w:rPr>
          <w:rFonts w:hint="eastAsia" w:ascii="楷体" w:hAnsi="楷体" w:eastAsia="楷体"/>
          <w:b/>
          <w:sz w:val="24"/>
          <w:szCs w:val="24"/>
          <w:u w:val="single"/>
        </w:rPr>
        <w:t>机构不承担产品投资、兑付和风险管理责任，产品的投资、兑付和风险管理责任由管理人苏银理财承担。</w:t>
      </w:r>
      <w:r>
        <w:rPr>
          <w:rFonts w:hint="eastAsia" w:ascii="楷体" w:hAnsi="楷体" w:eastAsia="楷体"/>
          <w:b w:val="0"/>
          <w:bCs w:val="0"/>
          <w:sz w:val="24"/>
          <w:szCs w:val="24"/>
          <w:highlight w:val="none"/>
          <w:u w:val="none"/>
          <w:lang w:val="en-US" w:eastAsia="zh-CN"/>
        </w:rPr>
        <w:t>本产品各份额销售机构如下：</w:t>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3"/>
        <w:gridCol w:w="3181"/>
        <w:gridCol w:w="3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ascii="楷体" w:hAnsi="楷体" w:eastAsia="楷体" w:cs="楷体"/>
                <w:b/>
                <w:bCs/>
                <w:i w:val="0"/>
                <w:iCs w:val="0"/>
                <w:color w:val="000000"/>
                <w:sz w:val="18"/>
                <w:szCs w:val="18"/>
                <w:u w:val="none"/>
              </w:rPr>
            </w:pPr>
            <w:r>
              <w:rPr>
                <w:rFonts w:hint="eastAsia" w:ascii="楷体" w:hAnsi="楷体" w:eastAsia="楷体" w:cs="楷体"/>
                <w:b/>
                <w:bCs/>
                <w:i w:val="0"/>
                <w:iCs w:val="0"/>
                <w:color w:val="000000"/>
                <w:kern w:val="0"/>
                <w:sz w:val="18"/>
                <w:szCs w:val="18"/>
                <w:u w:val="none"/>
                <w:lang w:val="en-US" w:eastAsia="zh-CN" w:bidi="ar"/>
              </w:rPr>
              <w:t>份额</w:t>
            </w:r>
          </w:p>
        </w:tc>
        <w:tc>
          <w:tcPr>
            <w:tcW w:w="3824" w:type="pct"/>
            <w:gridSpan w:val="2"/>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b/>
                <w:bCs/>
                <w:i w:val="0"/>
                <w:iCs w:val="0"/>
                <w:color w:val="000000"/>
                <w:sz w:val="18"/>
                <w:szCs w:val="18"/>
                <w:u w:val="none"/>
              </w:rPr>
            </w:pPr>
            <w:r>
              <w:rPr>
                <w:rFonts w:hint="eastAsia" w:ascii="楷体" w:hAnsi="楷体" w:eastAsia="楷体" w:cs="楷体"/>
                <w:b/>
                <w:bCs/>
                <w:i w:val="0"/>
                <w:iCs w:val="0"/>
                <w:color w:val="000000"/>
                <w:kern w:val="0"/>
                <w:sz w:val="18"/>
                <w:szCs w:val="18"/>
                <w:u w:val="none"/>
                <w:lang w:val="en-US" w:eastAsia="zh-CN" w:bidi="ar"/>
              </w:rPr>
              <w:t>销售机构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芙蓉锦程·优选份额</w:t>
            </w:r>
          </w:p>
        </w:tc>
        <w:tc>
          <w:tcPr>
            <w:tcW w:w="1866" w:type="pct"/>
            <w:tcBorders>
              <w:top w:val="single" w:color="auto" w:sz="4" w:space="0"/>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成都银行股份有限公司</w:t>
            </w:r>
          </w:p>
        </w:tc>
        <w:tc>
          <w:tcPr>
            <w:tcW w:w="195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restart"/>
            <w:tcBorders>
              <w:top w:val="single" w:color="auto" w:sz="4" w:space="0"/>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Z份额</w:t>
            </w:r>
          </w:p>
        </w:tc>
        <w:tc>
          <w:tcPr>
            <w:tcW w:w="1866" w:type="pct"/>
            <w:tcBorders>
              <w:top w:val="single" w:color="auto" w:sz="4" w:space="0"/>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浙江萧山农村商业银行股份有限公司</w:t>
            </w:r>
          </w:p>
        </w:tc>
        <w:tc>
          <w:tcPr>
            <w:tcW w:w="1958" w:type="pct"/>
            <w:tcBorders>
              <w:top w:val="single" w:color="auto" w:sz="4" w:space="0"/>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浙江海宁农村商业银行股份有限公司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浙江瑞安农村商业银行股份有限公司</w:t>
            </w:r>
          </w:p>
        </w:tc>
        <w:tc>
          <w:tcPr>
            <w:tcW w:w="1958" w:type="pct"/>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浙江临海农村商业银行股份有限公司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浙江永康农村商业银行股份有限公司</w:t>
            </w:r>
          </w:p>
        </w:tc>
        <w:tc>
          <w:tcPr>
            <w:tcW w:w="1958" w:type="pct"/>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浙江嵊州农村商业银行股份有限公司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浙江温岭农村商业银行股份有限公司</w:t>
            </w:r>
          </w:p>
        </w:tc>
        <w:tc>
          <w:tcPr>
            <w:tcW w:w="1958" w:type="pct"/>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兰州银行股份有限公司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江苏昆山农村商业银行股份有限公司</w:t>
            </w:r>
          </w:p>
        </w:tc>
        <w:tc>
          <w:tcPr>
            <w:tcW w:w="1958" w:type="pct"/>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restart"/>
            <w:tcBorders>
              <w:top w:val="single" w:color="auto" w:sz="4" w:space="0"/>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Q份额</w:t>
            </w:r>
          </w:p>
        </w:tc>
        <w:tc>
          <w:tcPr>
            <w:tcW w:w="1866" w:type="pct"/>
            <w:tcBorders>
              <w:top w:val="single" w:color="auto" w:sz="4" w:space="0"/>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齐鲁银行股份有限公司</w:t>
            </w:r>
          </w:p>
        </w:tc>
        <w:tc>
          <w:tcPr>
            <w:tcW w:w="1958" w:type="pct"/>
            <w:tcBorders>
              <w:top w:val="single" w:color="auto" w:sz="4" w:space="0"/>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广州农村商业银行股份有限公司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1866" w:type="pct"/>
            <w:tcBorders>
              <w:top w:val="nil"/>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广东南粤银行股份有限公司</w:t>
            </w:r>
          </w:p>
        </w:tc>
        <w:tc>
          <w:tcPr>
            <w:tcW w:w="1958" w:type="pct"/>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中山农村商业银行股份有限公司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restart"/>
            <w:tcBorders>
              <w:top w:val="single" w:color="auto" w:sz="4" w:space="0"/>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JS份额</w:t>
            </w:r>
          </w:p>
        </w:tc>
        <w:tc>
          <w:tcPr>
            <w:tcW w:w="3181" w:type="dxa"/>
            <w:tcBorders>
              <w:top w:val="single" w:color="auto" w:sz="4" w:space="0"/>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江苏镇江农村商业银行股份有限公司</w:t>
            </w:r>
          </w:p>
        </w:tc>
        <w:tc>
          <w:tcPr>
            <w:tcW w:w="3338" w:type="dxa"/>
            <w:tcBorders>
              <w:top w:val="single" w:color="auto" w:sz="4" w:space="0"/>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江苏句容农村商业银行股份有限公司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3181" w:type="dxa"/>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江苏泗阳农村商业银行股份有限公司</w:t>
            </w:r>
          </w:p>
        </w:tc>
        <w:tc>
          <w:tcPr>
            <w:tcW w:w="3338" w:type="dxa"/>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江苏姜堰农村商业银行股份有限公司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vMerge w:val="continue"/>
            <w:tcBorders>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3181" w:type="dxa"/>
            <w:tcBorders>
              <w:top w:val="nil"/>
              <w:left w:val="single" w:color="auto" w:sz="4" w:space="0"/>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江苏建湖农村商业银行股份有限公司</w:t>
            </w:r>
          </w:p>
        </w:tc>
        <w:tc>
          <w:tcPr>
            <w:tcW w:w="3338" w:type="dxa"/>
            <w:tcBorders>
              <w:top w:val="nil"/>
              <w:left w:val="nil"/>
              <w:bottom w:val="nil"/>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苏银理财有限责任公司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1175" w:type="pct"/>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p>
        </w:tc>
        <w:tc>
          <w:tcPr>
            <w:tcW w:w="3181" w:type="dxa"/>
            <w:tcBorders>
              <w:top w:val="nil"/>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江苏靖江农村商业银行股份有限公司</w:t>
            </w:r>
          </w:p>
        </w:tc>
        <w:tc>
          <w:tcPr>
            <w:tcW w:w="3338"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江苏高淳农村商业银行股份有限公司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芙蓉锦程·优选-尊享款份额</w:t>
            </w:r>
          </w:p>
        </w:tc>
        <w:tc>
          <w:tcPr>
            <w:tcW w:w="1866" w:type="pct"/>
            <w:tcBorders>
              <w:top w:val="single" w:color="auto" w:sz="4" w:space="0"/>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kern w:val="2"/>
                <w:sz w:val="18"/>
                <w:szCs w:val="18"/>
                <w:u w:val="none"/>
                <w:lang w:val="en-US" w:eastAsia="zh-CN" w:bidi="ar-SA"/>
              </w:rPr>
            </w:pPr>
            <w:r>
              <w:rPr>
                <w:rFonts w:hint="eastAsia" w:ascii="楷体" w:hAnsi="楷体" w:eastAsia="楷体" w:cs="楷体"/>
                <w:i w:val="0"/>
                <w:iCs w:val="0"/>
                <w:color w:val="000000"/>
                <w:sz w:val="18"/>
                <w:szCs w:val="18"/>
                <w:u w:val="none"/>
                <w:lang w:val="en-US" w:eastAsia="zh-CN"/>
              </w:rPr>
              <w:t>成都银行股份有限公司</w:t>
            </w:r>
          </w:p>
        </w:tc>
        <w:tc>
          <w:tcPr>
            <w:tcW w:w="195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北部湾银行专属份额</w:t>
            </w:r>
          </w:p>
        </w:tc>
        <w:tc>
          <w:tcPr>
            <w:tcW w:w="1866" w:type="pct"/>
            <w:tcBorders>
              <w:top w:val="single" w:color="auto" w:sz="4" w:space="0"/>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广西北部湾银行股份有限公司</w:t>
            </w:r>
          </w:p>
        </w:tc>
        <w:tc>
          <w:tcPr>
            <w:tcW w:w="195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17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kern w:val="0"/>
                <w:sz w:val="18"/>
                <w:szCs w:val="18"/>
                <w:u w:val="none"/>
                <w:lang w:val="en-US" w:eastAsia="zh-CN" w:bidi="ar"/>
              </w:rPr>
            </w:pPr>
            <w:r>
              <w:rPr>
                <w:rFonts w:hint="eastAsia" w:ascii="楷体" w:hAnsi="楷体" w:eastAsia="楷体" w:cs="楷体"/>
                <w:i w:val="0"/>
                <w:iCs w:val="0"/>
                <w:color w:val="000000"/>
                <w:kern w:val="0"/>
                <w:sz w:val="18"/>
                <w:szCs w:val="18"/>
                <w:u w:val="none"/>
                <w:lang w:val="en-US" w:eastAsia="zh-CN" w:bidi="ar"/>
              </w:rPr>
              <w:t>P份额</w:t>
            </w:r>
          </w:p>
        </w:tc>
        <w:tc>
          <w:tcPr>
            <w:tcW w:w="1866" w:type="pct"/>
            <w:tcBorders>
              <w:top w:val="single" w:color="auto" w:sz="4" w:space="0"/>
              <w:left w:val="single" w:color="auto" w:sz="4" w:space="0"/>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楷体" w:hAnsi="楷体" w:eastAsia="楷体" w:cs="楷体"/>
                <w:i w:val="0"/>
                <w:iCs w:val="0"/>
                <w:color w:val="000000"/>
                <w:sz w:val="18"/>
                <w:szCs w:val="18"/>
                <w:u w:val="none"/>
                <w:lang w:val="en-US" w:eastAsia="zh-CN"/>
              </w:rPr>
            </w:pPr>
            <w:r>
              <w:rPr>
                <w:rFonts w:hint="eastAsia" w:ascii="楷体" w:hAnsi="楷体" w:eastAsia="楷体" w:cs="楷体"/>
                <w:i w:val="0"/>
                <w:iCs w:val="0"/>
                <w:color w:val="000000"/>
                <w:sz w:val="18"/>
                <w:szCs w:val="18"/>
                <w:u w:val="none"/>
                <w:lang w:val="en-US" w:eastAsia="zh-CN"/>
              </w:rPr>
              <w:t>郑州银行股份有限公司</w:t>
            </w:r>
          </w:p>
        </w:tc>
        <w:tc>
          <w:tcPr>
            <w:tcW w:w="195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楷体" w:hAnsi="楷体" w:eastAsia="楷体" w:cs="楷体"/>
                <w:i w:val="0"/>
                <w:iCs w:val="0"/>
                <w:color w:val="000000"/>
                <w:sz w:val="18"/>
                <w:szCs w:val="18"/>
                <w:u w:val="none"/>
                <w:lang w:val="en-US" w:eastAsia="zh-CN"/>
              </w:rPr>
            </w:pPr>
          </w:p>
        </w:tc>
      </w:tr>
    </w:tbl>
    <w:p>
      <w:pPr>
        <w:numPr>
          <w:ilvl w:val="0"/>
          <w:numId w:val="3"/>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投资合作机构</w:t>
      </w:r>
    </w:p>
    <w:p>
      <w:pPr>
        <w:ind w:firstLine="480" w:firstLineChars="200"/>
        <w:rPr>
          <w:rFonts w:hint="eastAsia" w:ascii="楷体" w:hAnsi="楷体" w:eastAsia="楷体"/>
          <w:sz w:val="24"/>
          <w:szCs w:val="24"/>
        </w:rPr>
      </w:pPr>
      <w:r>
        <w:rPr>
          <w:rFonts w:hint="eastAsia" w:ascii="楷体" w:hAnsi="楷体" w:eastAsia="楷体"/>
          <w:sz w:val="24"/>
          <w:szCs w:val="24"/>
        </w:rPr>
        <w:t>投资合作机构主要职责是对理财产品受托资金进行投资管理，苏银理财已按投资决策流程对投资合作机构进行了准入，并持续开展投资合作机构的存续期管理。本产品投资合作机构包括：</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2760"/>
        <w:gridCol w:w="5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bCs/>
                <w:sz w:val="20"/>
                <w:szCs w:val="20"/>
                <w:vertAlign w:val="baseline"/>
                <w:lang w:val="en-US" w:eastAsia="zh-CN"/>
              </w:rPr>
            </w:pPr>
            <w:r>
              <w:rPr>
                <w:rFonts w:hint="eastAsia" w:ascii="楷体" w:hAnsi="楷体" w:eastAsia="楷体"/>
                <w:b/>
                <w:bCs/>
                <w:sz w:val="20"/>
                <w:szCs w:val="20"/>
                <w:vertAlign w:val="baseline"/>
                <w:lang w:val="en-US" w:eastAsia="zh-CN"/>
              </w:rPr>
              <w:t>序号</w:t>
            </w:r>
          </w:p>
        </w:tc>
        <w:tc>
          <w:tcPr>
            <w:tcW w:w="1619"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bCs/>
                <w:sz w:val="20"/>
                <w:szCs w:val="20"/>
                <w:vertAlign w:val="baseline"/>
                <w:lang w:val="en-US" w:eastAsia="zh-CN"/>
              </w:rPr>
            </w:pPr>
            <w:r>
              <w:rPr>
                <w:rFonts w:hint="eastAsia" w:ascii="楷体" w:hAnsi="楷体" w:eastAsia="楷体"/>
                <w:b/>
                <w:bCs/>
                <w:sz w:val="20"/>
                <w:szCs w:val="20"/>
                <w:vertAlign w:val="baseline"/>
                <w:lang w:val="en-US" w:eastAsia="zh-CN"/>
              </w:rPr>
              <w:t>投资合作机构</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bCs/>
                <w:sz w:val="20"/>
                <w:szCs w:val="20"/>
                <w:vertAlign w:val="baseline"/>
                <w:lang w:val="en-US" w:eastAsia="zh-CN"/>
              </w:rPr>
            </w:pPr>
            <w:r>
              <w:rPr>
                <w:rFonts w:hint="eastAsia" w:ascii="楷体" w:hAnsi="楷体" w:eastAsia="楷体"/>
                <w:b/>
                <w:bCs/>
                <w:sz w:val="20"/>
                <w:szCs w:val="20"/>
                <w:vertAlign w:val="baseline"/>
                <w:lang w:val="en-US" w:eastAsia="zh-CN"/>
              </w:rPr>
              <w:t>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20"/>
              </w:rPr>
            </w:pPr>
            <w:r>
              <w:rPr>
                <w:rFonts w:hint="eastAsia" w:ascii="楷体" w:hAnsi="楷体" w:eastAsia="楷体"/>
                <w:b w:val="0"/>
                <w:bCs w:val="0"/>
                <w:sz w:val="20"/>
                <w:szCs w:val="20"/>
                <w:lang w:val="en-US" w:eastAsia="zh-CN"/>
              </w:rPr>
              <w:t>苏豪</w:t>
            </w:r>
            <w:r>
              <w:rPr>
                <w:rFonts w:hint="eastAsia" w:ascii="楷体" w:hAnsi="楷体" w:eastAsia="楷体"/>
                <w:b w:val="0"/>
                <w:bCs w:val="0"/>
                <w:sz w:val="20"/>
                <w:szCs w:val="20"/>
              </w:rPr>
              <w:t>弘业期货股份有限公司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楷体" w:hAnsi="楷体" w:eastAsia="楷体"/>
                <w:b w:val="0"/>
                <w:bCs w:val="0"/>
                <w:sz w:val="20"/>
                <w:szCs w:val="20"/>
              </w:rPr>
            </w:pPr>
            <w:r>
              <w:rPr>
                <w:rFonts w:hint="default" w:ascii="楷体" w:hAnsi="楷体" w:eastAsia="楷体"/>
                <w:b w:val="0"/>
                <w:bCs w:val="0"/>
                <w:sz w:val="20"/>
                <w:szCs w:val="20"/>
              </w:rPr>
              <w:t>苏豪弘业期货股份有限公司（简称弘业期货）成立于1995年，注册资本1,007,777,778元人民币，隶属于江苏省国资委全资拥有的国有企业江苏省苏豪控股集团有限公司。公司经营范围涵盖商品期货经纪、金融期货经纪、期货投资咨询、资产管理、基金销售业务。在北、上、广等国内主要金融中心和重点城市设立35家分支机构，数量位居全国前列，并在行业内率先建立国家级博士后工作站</w:t>
            </w:r>
            <w:r>
              <w:rPr>
                <w:rFonts w:hint="eastAsia" w:ascii="楷体" w:hAnsi="楷体" w:eastAsia="楷体"/>
                <w:b w:val="0"/>
                <w:bCs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20"/>
                <w:vertAlign w:val="baseline"/>
              </w:rPr>
            </w:pPr>
            <w:r>
              <w:rPr>
                <w:rFonts w:hint="eastAsia" w:ascii="楷体" w:hAnsi="楷体" w:eastAsia="楷体"/>
                <w:b w:val="0"/>
                <w:bCs w:val="0"/>
                <w:sz w:val="20"/>
                <w:szCs w:val="20"/>
              </w:rPr>
              <w:t>江苏省国际信托有限责任公司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楷体" w:hAnsi="楷体" w:eastAsia="楷体"/>
                <w:b w:val="0"/>
                <w:bCs w:val="0"/>
                <w:sz w:val="20"/>
                <w:szCs w:val="20"/>
                <w:vertAlign w:val="baseline"/>
              </w:rPr>
            </w:pPr>
            <w:r>
              <w:rPr>
                <w:rFonts w:hint="eastAsia" w:ascii="楷体" w:hAnsi="楷体" w:eastAsia="楷体"/>
                <w:b w:val="0"/>
                <w:bCs w:val="0"/>
                <w:sz w:val="20"/>
                <w:szCs w:val="20"/>
              </w:rPr>
              <w:t>江苏省国际信托有限责任公司是经江苏省人民政府和中国银行业监督管理委员会批准设立的非银行金融机构，是江苏省国信集团的主要成员企业之一，专业从事金融信托业务。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3</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18"/>
              </w:rPr>
            </w:pPr>
            <w:r>
              <w:rPr>
                <w:rFonts w:hint="eastAsia" w:ascii="楷体" w:hAnsi="楷体" w:eastAsia="楷体"/>
                <w:b w:val="0"/>
                <w:bCs w:val="0"/>
                <w:sz w:val="20"/>
                <w:szCs w:val="18"/>
              </w:rPr>
              <w:t>中国人保资产管理有限公司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rPr>
            </w:pPr>
            <w:r>
              <w:rPr>
                <w:rFonts w:hint="eastAsia" w:ascii="楷体" w:hAnsi="楷体" w:eastAsia="楷体"/>
                <w:b w:val="0"/>
                <w:bCs w:val="0"/>
                <w:sz w:val="20"/>
                <w:szCs w:val="18"/>
                <w:lang w:val="en-US" w:eastAsia="zh-CN"/>
              </w:rPr>
              <w:t>中国人保资产管理有限公司成立于2003年7月16日，是经国务院同意、原中国保监会批准设立的境内第一家保险资产管理公司，由中国人民保险集团股份有限公司发起。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4</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b w:val="0"/>
                <w:bCs w:val="0"/>
                <w:sz w:val="20"/>
                <w:szCs w:val="18"/>
              </w:rPr>
            </w:pPr>
            <w:r>
              <w:rPr>
                <w:rFonts w:hint="eastAsia" w:ascii="楷体" w:hAnsi="楷体" w:eastAsia="楷体"/>
                <w:b w:val="0"/>
                <w:bCs w:val="0"/>
                <w:sz w:val="20"/>
                <w:szCs w:val="18"/>
              </w:rPr>
              <w:t>创金合信基金管理有限公司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创金合信基金管理有限公司，2014年7月成立于中国深圳，股东由第一创业证券股份有限公司以及经营管理层和核心员工持股的投资合伙企业构成，是第一家成立时即实现员工持股的基金公司，截至目前注册资本2.33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5</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东方财富证券股份有限公司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东方财富证券股份有限公司，简称“东方财富证券”，是东方财富信息股份有限公司旗下的持牌证券公司，始终坚持用户第一，注重科技赋能、投研管理建设，旨在为客户提供全方位的财富管理服务。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6</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大家资产管理有限责任公司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大家资产管理有限责任公司是大家保险集团旗下专业资产管理公司，公司于2011年5月经原中国保监会批准正式设立，注册资本6亿元人民币，2019年9月18日，经中国银行保险监督管理委员会批准，北京市西城区市场监督管理局核准，名称变更为“大家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7</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中信期货有限公司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中信期货有限公司（以下简称“中信期货”）成立于1993年3月，为中信证券股份有限公司的全资子公司，注册资本56亿元，总部设在深圳。公司主要开展商品期货经纪、金融期货经纪、期货投资咨询、资产管理和基金销售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8</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华润深国投信托有限公司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left"/>
              <w:textAlignment w:val="auto"/>
              <w:rPr>
                <w:rFonts w:hint="eastAsia" w:ascii="楷体" w:hAnsi="楷体" w:eastAsia="楷体"/>
                <w:b w:val="0"/>
                <w:bCs w:val="0"/>
                <w:sz w:val="20"/>
                <w:szCs w:val="18"/>
                <w:lang w:val="en-US" w:eastAsia="zh-CN"/>
              </w:rPr>
            </w:pPr>
            <w:r>
              <w:rPr>
                <w:rFonts w:hint="eastAsia" w:ascii="楷体" w:hAnsi="楷体" w:eastAsia="楷体"/>
                <w:b w:val="0"/>
                <w:bCs w:val="0"/>
                <w:sz w:val="20"/>
                <w:szCs w:val="18"/>
                <w:lang w:val="en-US" w:eastAsia="zh-CN"/>
              </w:rPr>
              <w:t>华润信托于1982年8月24日成立，原名为深圳市信托投资公司，注册资本人民币5,813万元。目前，公司注册资本人民币110亿元，华润金控投资有限公司持有公司51%股权，深圳市投资控股有限公司持有公司49%股权。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9</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永诚保险资产管理有限公司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楷体" w:hAnsi="楷体" w:eastAsia="楷体"/>
                <w:b w:val="0"/>
                <w:bCs w:val="0"/>
                <w:sz w:val="20"/>
                <w:szCs w:val="18"/>
                <w:lang w:val="en-US" w:eastAsia="zh-CN"/>
              </w:rPr>
            </w:pPr>
            <w:r>
              <w:rPr>
                <w:rFonts w:hint="eastAsia" w:ascii="楷体" w:hAnsi="楷体" w:eastAsia="楷体" w:cs="Times New Roman"/>
                <w:b w:val="0"/>
                <w:bCs w:val="0"/>
                <w:sz w:val="20"/>
                <w:szCs w:val="18"/>
                <w:lang w:val="en-US" w:eastAsia="zh-CN"/>
              </w:rPr>
              <w:t>永诚保险资产管理有限公司（简称“永诚资产”）是由永诚财产保险股份有限公司全资发起组建的保险资产管理公司，公司注册于浙江省宁波市，注册资本金为人民币3亿元。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10</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安联保险资产管理有限公司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b w:val="0"/>
                <w:bCs w:val="0"/>
                <w:sz w:val="20"/>
                <w:szCs w:val="18"/>
                <w:lang w:val="en-US" w:eastAsia="zh-CN"/>
              </w:rPr>
            </w:pPr>
            <w:r>
              <w:rPr>
                <w:rFonts w:hint="eastAsia" w:ascii="楷体" w:hAnsi="楷体" w:eastAsia="楷体" w:cs="Times New Roman"/>
                <w:b w:val="0"/>
                <w:bCs w:val="0"/>
                <w:sz w:val="20"/>
                <w:szCs w:val="18"/>
                <w:lang w:val="en-US" w:eastAsia="zh-CN"/>
              </w:rPr>
              <w:t>安联保险资产管理有限公司（简称安联资管或公司）于2021年7月27日获得中国银行保险监督管理委员会的开业批复，成为中国获批开业的外资独资保险资产管理公司，注册资本为五亿元人民币，注册地北京。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11</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中国对外经济贸易信托有限公司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中国对外经济贸易信托有限公司（以下简称“外贸信托”）成立于1987年9月，控股股东为中化资本有限公司，持股比例97.26%，注册资本80亿元，注册地在北京。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12</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长城财富保险资产管理股份有限公司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长城财富保险资产管理股份有限公司（简称长城财富或公司）于2015年3月18日正式开业，是原中国保监会核准的第十九家保险资产管理公司，公司的主要股东为长城人寿保险股份有限公司、北京金融街投资（集团）有限公司等，注册资本为2亿元人民币，注册地深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13</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平安信托有限责任公司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rPr>
              <w:t>平安信托有限责任公司（以下简称“平安信托”）成立于1996年4月9日；平安信托股东实力雄厚，是中国平安保险（集团）股份有限公司（以下简称“中国平安”）的控股子公司，是中国平安在香港联交所（2318.HK）和上海证券交易所（601318）整体上市的重要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14</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中粮信托有限责任公司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rPr>
              <w:t>中粮信托有限责任公司（以下简称“中粮信托”）成立于2009年7月27日，控股股东为中粮资本投资有限公司，实际控制人为国务院国资委，注册资本283,095.4182万元人民币。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15</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南华基金管理有限公司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rPr>
              <w:t>南华基金管理有限公司于2016年10月18日由中国证监会核准设立，2016年11月17日经工商注册登记成立，经营范围为基金募集、基金销售、资产管理、特定客户资产管理和中国证监会许可的其他业务。公司是国内第一家由期货公司全资出资成立的公募基金公司，南华期货股份有限公司为公司全资股东，持股比例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16</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英大保险资产管理有限公司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rPr>
              <w:t>英大保险资产管理有限公司成立于2015年4月3日，由英大人寿、英大财险和英大集团共同发起设立，于2015年4月3日开业，注册资本金为5.2亿元，注册地为北京市。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17</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国联民生证券股份有限公司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rPr>
            </w:pPr>
            <w:r>
              <w:rPr>
                <w:rFonts w:hint="eastAsia" w:ascii="楷体" w:hAnsi="楷体" w:eastAsia="楷体" w:cs="Times New Roman"/>
                <w:b w:val="0"/>
                <w:bCs w:val="0"/>
                <w:sz w:val="20"/>
                <w:szCs w:val="18"/>
              </w:rPr>
              <w:t>国联民生证券股份有限公司创立于1992年11月，前身为无锡市证券公司,2008年5月通过改制更名为国联证券股份有限公司,2015年7月6日在中国香港联合交易所上市(股票代码:01456),2020年7月31日在上海证券交易所上市(股票代码:601456),2025年2月7日更名为国联民生证券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18</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太平洋资产管理有限责任公司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default"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太平洋资产管理有限责任公司（以下简称“太保资产”或“公司”）是中国太平洋保险（集团）股份有限公司控股下的资产管理公司。公司注册资本人民币21亿元。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19</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东吴证券股份有限公司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东吴证券股份有限公司，成立于1993年，公司注册地及总部在苏州，注册资本50.08亿元。公司下属21个分公司，拥有证券营业部135家，下设全资子公司东吴创业投资有限公司、东吴创新资本管理有限公司、东吴证券（香港）金融控股有限公司，并控股东吴基金管理有限公司、东吴期货有限公司和东吴证券中新（新加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20</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鑫元基金管理有限公司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鑫元基金管理有限公司由南京银行股份有限公司（持股比例80%）发起，与南京高科股份有限公司（持股比例20%）联合组建，于2013年8月成立，是国内首批获准设立的城商行系基金公司。鑫元基金注册资本金2亿元人民币，总部设在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21</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光大永明资产管理股份有限公司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光大永明资产管理股份有限公司成立时的原注册资本为人民币1亿元，其中各股东的持股比例为：光大永明人寿保险有限公司持有99%的股权和中国光大集团持有1%的股权。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22</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建信保险资产管理有限公司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建信保险资产管理有限公司（简称“建信资管”）是由建信保险资管注册地点位于深圳市福田区,总部位于上海陆家嘴，是国内首家银行系保险资产管理公司。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23</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陆家嘴国际信托有限公司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陆家嘴国际信托有限公司（简称陆家嘴信托或公司）是上海陆家嘴金融发展有限公司（以下简称“陆金发”）控股的信托机构，注册资本为104亿元。公司注册地为青岛，在部分城市设立业务团队。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24</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新华资产管理股份有限公司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新华资产管理股份有限公司成立于2006年5月，是国内首批专业保险资产管理机构，前身为新华人寿保险股份有限公司投资管理中心，控股股东为新华人寿保险股份有限公司。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25</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国投泰康信托有限公司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国投泰康信托有限公司是经中国人民银行批准设立、国家金融监督管理总局监管的非银行金融机构，注册资本金26.705亿元人民币。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26</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国联证券资产管理有限公司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国联证券资产管理有限公司（以下简称“公司”或“国联证券资管”）为国联民生证券股份有限公司全资子公司，2023年09月20日完成注册登记，2024年05月23日正式揭牌运营。公司注册地在青岛，注册资本100000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27</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华鑫证券有限责任公司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华鑫证券有限责任公司是经中国证券监督管理委员会批准于2001年3月在深圳市注册成立的全国性综合类证券经营机构，注册资本36亿元人民币。华鑫证券是上海仪电（集团）有限公司控股的A股上市公司上海华鑫股份有限公司（股票代码：600621）的全资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28</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云南国际信托有限公司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云南国际信托有限公司是经中国人民银行批准设立、国家金融监督管理总局监管的非银行金融机构，注册资本金22亿元人民币。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29</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中诚信托有限责任公司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中诚信托有限责任公司（以下简称“中诚信托”）成立于1995年11月20日，是中国银行保险监督管理委员会核准的国有控股金融机构，注册资本48.5亿元。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30</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诺德基金管理有限公司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诺德基金管理有限公司成立于2006年，股东为天府清源控股有限公司、北京天朗云创信息技术有限公司，总部位于上海陆家嘴，注册资本1亿元。截至2024年12月31日，公司超160人的团队管理超700亿元资产。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楷体" w:hAnsi="楷体" w:eastAsia="楷体"/>
                <w:b w:val="0"/>
                <w:bCs w:val="0"/>
                <w:sz w:val="20"/>
                <w:szCs w:val="20"/>
                <w:vertAlign w:val="baseline"/>
                <w:lang w:val="en-US" w:eastAsia="zh-CN"/>
              </w:rPr>
            </w:pPr>
            <w:r>
              <w:rPr>
                <w:rFonts w:hint="eastAsia" w:ascii="楷体" w:hAnsi="楷体" w:eastAsia="楷体"/>
                <w:b w:val="0"/>
                <w:bCs w:val="0"/>
                <w:sz w:val="20"/>
                <w:szCs w:val="20"/>
                <w:vertAlign w:val="baseline"/>
                <w:lang w:val="en-US" w:eastAsia="zh-CN"/>
              </w:rPr>
              <w:t>31</w:t>
            </w:r>
          </w:p>
        </w:tc>
        <w:tc>
          <w:tcPr>
            <w:tcW w:w="1619"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紫金信托有限责任公司</w:t>
            </w:r>
          </w:p>
        </w:tc>
        <w:tc>
          <w:tcPr>
            <w:tcW w:w="300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楷体" w:hAnsi="楷体" w:eastAsia="楷体" w:cs="Times New Roman"/>
                <w:b w:val="0"/>
                <w:bCs w:val="0"/>
                <w:sz w:val="20"/>
                <w:szCs w:val="18"/>
                <w:lang w:val="en-US" w:eastAsia="zh-CN"/>
              </w:rPr>
            </w:pPr>
            <w:r>
              <w:rPr>
                <w:rFonts w:hint="eastAsia" w:ascii="楷体" w:hAnsi="楷体" w:eastAsia="楷体" w:cs="Times New Roman"/>
                <w:b w:val="0"/>
                <w:bCs w:val="0"/>
                <w:sz w:val="20"/>
                <w:szCs w:val="18"/>
                <w:lang w:val="en-US" w:eastAsia="zh-CN"/>
              </w:rPr>
              <w:t>紫金信托有限责任公司前身为成立于1992年的南京市信托投资公司。在历经股权变更后，2010年，经国务院银行业监督管理机构批准，公司实施增资重组，并重新登记，更名为“紫金信托有限责任公司”。注册资本32.71亿元人民币。</w:t>
            </w:r>
          </w:p>
        </w:tc>
      </w:tr>
    </w:tbl>
    <w:p>
      <w:pPr>
        <w:rPr>
          <w:rFonts w:ascii="楷体" w:hAnsi="楷体" w:eastAsia="楷体"/>
          <w:b/>
          <w:sz w:val="24"/>
          <w:szCs w:val="24"/>
        </w:rPr>
      </w:pPr>
    </w:p>
    <w:p>
      <w:pPr>
        <w:ind w:firstLine="480" w:firstLineChars="200"/>
        <w:rPr>
          <w:rFonts w:hint="eastAsia" w:ascii="楷体" w:hAnsi="楷体" w:eastAsia="楷体"/>
          <w:sz w:val="24"/>
          <w:szCs w:val="24"/>
        </w:rPr>
      </w:pPr>
      <w:r>
        <w:rPr>
          <w:rFonts w:hint="eastAsia" w:ascii="楷体" w:hAnsi="楷体" w:eastAsia="楷体"/>
          <w:sz w:val="24"/>
          <w:szCs w:val="24"/>
        </w:rPr>
        <w:t>产品存续期内合作机构如有变化，管理人将按照监管规定和内部管理制度要</w:t>
      </w:r>
    </w:p>
    <w:p>
      <w:pPr>
        <w:tabs>
          <w:tab w:val="left" w:pos="1134"/>
        </w:tabs>
        <w:rPr>
          <w:rFonts w:hint="eastAsia" w:ascii="楷体" w:hAnsi="楷体" w:eastAsia="楷体"/>
          <w:sz w:val="28"/>
          <w:szCs w:val="28"/>
          <w:lang w:val="en-US" w:eastAsia="zh-CN"/>
        </w:rPr>
      </w:pPr>
      <w:r>
        <w:rPr>
          <w:rFonts w:hint="eastAsia" w:ascii="楷体" w:hAnsi="楷体" w:eastAsia="楷体"/>
          <w:sz w:val="24"/>
          <w:szCs w:val="24"/>
        </w:rPr>
        <w:t>求对合作机构进行准入，签署相关协议后，</w:t>
      </w:r>
      <w:r>
        <w:rPr>
          <w:rFonts w:hint="eastAsia" w:ascii="楷体" w:hAnsi="楷体" w:eastAsia="楷体"/>
          <w:sz w:val="24"/>
          <w:szCs w:val="24"/>
          <w:lang w:val="en-US" w:eastAsia="zh-CN"/>
        </w:rPr>
        <w:t>披露新增的投资合作机构</w:t>
      </w:r>
      <w:r>
        <w:rPr>
          <w:rFonts w:hint="eastAsia" w:ascii="楷体" w:hAnsi="楷体" w:eastAsia="楷体"/>
          <w:sz w:val="24"/>
          <w:szCs w:val="24"/>
          <w:lang w:eastAsia="zh-CN"/>
        </w:rPr>
        <w:t>。</w:t>
      </w:r>
    </w:p>
    <w:p>
      <w:pPr>
        <w:numPr>
          <w:ilvl w:val="0"/>
          <w:numId w:val="3"/>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名词释义</w:t>
      </w:r>
    </w:p>
    <w:p>
      <w:pPr>
        <w:ind w:firstLine="480" w:firstLineChars="200"/>
        <w:rPr>
          <w:rFonts w:hint="eastAsia" w:ascii="楷体" w:hAnsi="楷体" w:eastAsia="楷体"/>
          <w:sz w:val="24"/>
          <w:szCs w:val="24"/>
        </w:rPr>
      </w:pPr>
      <w:r>
        <w:rPr>
          <w:rFonts w:hint="eastAsia" w:ascii="楷体" w:hAnsi="楷体" w:eastAsia="楷体"/>
          <w:sz w:val="24"/>
          <w:szCs w:val="24"/>
        </w:rPr>
        <w:t>在本理财产品说明书中，除非上下文另有明确约定，下列用词将具有如下含义：</w:t>
      </w:r>
    </w:p>
    <w:p>
      <w:pPr>
        <w:numPr>
          <w:ilvl w:val="0"/>
          <w:numId w:val="5"/>
        </w:numPr>
        <w:tabs>
          <w:tab w:val="left" w:pos="993"/>
        </w:tabs>
        <w:ind w:left="0" w:firstLine="482" w:firstLineChars="200"/>
        <w:outlineLvl w:val="2"/>
        <w:rPr>
          <w:rFonts w:hint="eastAsia" w:ascii="楷体" w:hAnsi="楷体" w:eastAsia="楷体" w:cs="Calibri"/>
          <w:b/>
          <w:sz w:val="24"/>
          <w:szCs w:val="24"/>
        </w:rPr>
      </w:pPr>
      <w:r>
        <w:rPr>
          <w:rFonts w:hint="eastAsia" w:ascii="楷体" w:hAnsi="楷体" w:eastAsia="楷体" w:cs="Calibri"/>
          <w:b/>
          <w:sz w:val="24"/>
          <w:szCs w:val="24"/>
        </w:rPr>
        <w:t>参与主体用语</w:t>
      </w:r>
    </w:p>
    <w:p>
      <w:pPr>
        <w:numPr>
          <w:ilvl w:val="0"/>
          <w:numId w:val="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★管理人/产品管理人/理财产品管理人：指苏银理财有限责任公司（本文简称“苏银理财”）。</w:t>
      </w:r>
    </w:p>
    <w:p>
      <w:pPr>
        <w:numPr>
          <w:ilvl w:val="0"/>
          <w:numId w:val="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托管人/产品托管人：指江苏银行股份有限公司（本文简称“江苏银行”）。江苏银行具备理财产品托管资格。托管人负责履行安全保管理财产品资金及其所投资的资产，办理清算、交割事宜，与管理人对账，监督理财产品投资运作等职责。</w:t>
      </w:r>
    </w:p>
    <w:p>
      <w:pPr>
        <w:numPr>
          <w:ilvl w:val="0"/>
          <w:numId w:val="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★代销机构/销售机构：指符合《关于规范金融机构资产管理业务的指导意见》、《商业银行理财业务监督管理办法》、《商业银行理财子公司管理办法》、《理财公司理财产品销售管理暂行办法》和</w:t>
      </w:r>
      <w:r>
        <w:rPr>
          <w:rFonts w:hint="eastAsia" w:ascii="楷体" w:hAnsi="楷体" w:eastAsia="楷体" w:cs="Calibri"/>
          <w:sz w:val="24"/>
          <w:szCs w:val="24"/>
          <w:lang w:val="en-US" w:eastAsia="zh-CN"/>
        </w:rPr>
        <w:t>金融监管总局</w:t>
      </w:r>
      <w:r>
        <w:rPr>
          <w:rFonts w:hint="eastAsia" w:ascii="楷体" w:hAnsi="楷体" w:eastAsia="楷体" w:cs="Calibri"/>
          <w:sz w:val="24"/>
          <w:szCs w:val="24"/>
        </w:rPr>
        <w:t>规定的其他条件，取得理财产品销售资格并与管理人签订了销售服务代理协议，代为办理销售业务的机构。代销机构接受产品管理人的委托，在该机构渠道向投资者宣传推介、销售产品管理人依法发行的资产管理产品的活动。其中，“销售”是指向投资者宣传推介资产管理产品，办理产品申购、赎回的活动。</w:t>
      </w:r>
    </w:p>
    <w:p>
      <w:pPr>
        <w:numPr>
          <w:ilvl w:val="0"/>
          <w:numId w:val="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监管机构：指有权对本理财产品管理人及相关合作机构实施监督管理的机构，包括但不限于中国人民银行、金融监管总局、中国证券监督管理委员会、外汇管理局、银行业理财登记托管中心等。</w:t>
      </w:r>
    </w:p>
    <w:p>
      <w:pPr>
        <w:numPr>
          <w:ilvl w:val="0"/>
          <w:numId w:val="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投资合作机构：包括但不限于理财产品所投资资产管理产品的发行机构、根据合同约定从事理财产品受托投资的机构以及与理财产品投资管理相关的投资顾问等；主要职责为进行受托资金的投资管理，根据合同约定从事受托投资或提供投资顾问等服务，具体职责以管理人与投资合作机构签署的合同为准。</w:t>
      </w:r>
    </w:p>
    <w:p>
      <w:pPr>
        <w:numPr>
          <w:ilvl w:val="0"/>
          <w:numId w:val="6"/>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投资者：指符合相关法律法规、监管规定要求的，可以购买理财产品份额的自然人和法人。</w:t>
      </w:r>
    </w:p>
    <w:p>
      <w:pPr>
        <w:numPr>
          <w:ilvl w:val="0"/>
          <w:numId w:val="0"/>
        </w:numPr>
        <w:tabs>
          <w:tab w:val="left" w:pos="993"/>
        </w:tabs>
        <w:ind w:leftChars="200"/>
        <w:rPr>
          <w:rFonts w:hint="eastAsia" w:ascii="楷体" w:hAnsi="楷体" w:eastAsia="楷体" w:cs="Calibri"/>
          <w:b/>
          <w:bCs/>
          <w:sz w:val="24"/>
          <w:szCs w:val="24"/>
        </w:rPr>
      </w:pPr>
      <w:r>
        <w:rPr>
          <w:rFonts w:hint="eastAsia" w:ascii="楷体" w:hAnsi="楷体" w:eastAsia="楷体" w:cs="Calibri"/>
          <w:b/>
          <w:bCs/>
          <w:sz w:val="24"/>
          <w:szCs w:val="24"/>
          <w:lang w:eastAsia="zh-CN"/>
        </w:rPr>
        <w:t>（</w:t>
      </w:r>
      <w:r>
        <w:rPr>
          <w:rFonts w:hint="eastAsia" w:ascii="楷体" w:hAnsi="楷体" w:eastAsia="楷体" w:cs="Calibri"/>
          <w:b/>
          <w:bCs/>
          <w:sz w:val="24"/>
          <w:szCs w:val="24"/>
          <w:lang w:val="en-US" w:eastAsia="zh-CN"/>
        </w:rPr>
        <w:t>二</w:t>
      </w:r>
      <w:r>
        <w:rPr>
          <w:rFonts w:hint="eastAsia" w:ascii="楷体" w:hAnsi="楷体" w:eastAsia="楷体" w:cs="Calibri"/>
          <w:b/>
          <w:bCs/>
          <w:sz w:val="24"/>
          <w:szCs w:val="24"/>
          <w:lang w:eastAsia="zh-CN"/>
        </w:rPr>
        <w:t>）</w:t>
      </w:r>
      <w:r>
        <w:rPr>
          <w:rFonts w:hint="eastAsia" w:ascii="楷体" w:hAnsi="楷体" w:eastAsia="楷体" w:cs="Calibri"/>
          <w:b/>
          <w:bCs/>
          <w:sz w:val="24"/>
          <w:szCs w:val="24"/>
        </w:rPr>
        <w:t>理财产品用语</w:t>
      </w:r>
    </w:p>
    <w:p>
      <w:pPr>
        <w:numPr>
          <w:ilvl w:val="0"/>
          <w:numId w:val="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理财产品</w:t>
      </w:r>
      <w:r>
        <w:rPr>
          <w:rFonts w:ascii="楷体" w:hAnsi="楷体" w:eastAsia="楷体" w:cs="Calibri"/>
          <w:sz w:val="24"/>
          <w:szCs w:val="24"/>
        </w:rPr>
        <w:t>/</w:t>
      </w:r>
      <w:r>
        <w:rPr>
          <w:rFonts w:hint="eastAsia" w:ascii="楷体" w:hAnsi="楷体" w:eastAsia="楷体" w:cs="Calibri"/>
          <w:sz w:val="24"/>
          <w:szCs w:val="24"/>
        </w:rPr>
        <w:t>产品：指苏银理财按照约定条件和实际投资收益情况向投资者支付收益、不保证本金支付和收益水平的非保本理财产品。</w:t>
      </w:r>
    </w:p>
    <w:p>
      <w:pPr>
        <w:numPr>
          <w:ilvl w:val="0"/>
          <w:numId w:val="7"/>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本理财产品</w:t>
      </w:r>
      <w:r>
        <w:rPr>
          <w:rFonts w:ascii="楷体" w:hAnsi="楷体" w:eastAsia="楷体" w:cs="Calibri"/>
          <w:sz w:val="24"/>
          <w:szCs w:val="24"/>
        </w:rPr>
        <w:t>/</w:t>
      </w:r>
      <w:r>
        <w:rPr>
          <w:rFonts w:hint="eastAsia" w:ascii="楷体" w:hAnsi="楷体" w:eastAsia="楷体" w:cs="Calibri"/>
          <w:sz w:val="24"/>
          <w:szCs w:val="24"/>
        </w:rPr>
        <w:t>本产品：指“苏银理财恒源融达1号”理财产品。</w:t>
      </w:r>
    </w:p>
    <w:p>
      <w:pPr>
        <w:numPr>
          <w:ilvl w:val="0"/>
          <w:numId w:val="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理财产品登记编码：指本款理财产品在全国银行业理财信息登记系统中的编码，投资者可在中国理财网进行查询该编码。</w:t>
      </w:r>
    </w:p>
    <w:p>
      <w:pPr>
        <w:numPr>
          <w:ilvl w:val="0"/>
          <w:numId w:val="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理财产品代码/产品代码：指本款理财产品在全国银行业理财信息登记系统中登记的内部识别码。</w:t>
      </w:r>
    </w:p>
    <w:p>
      <w:pPr>
        <w:numPr>
          <w:ilvl w:val="0"/>
          <w:numId w:val="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理财产品销售代码/销售代码：指本款理财产品可能存在不同产品份额类别，管理人在理财产品销售管理过程中为区分不同产品份额类别，在同一理财产品代码项下设置的内部识别码。</w:t>
      </w:r>
    </w:p>
    <w:p>
      <w:pPr>
        <w:numPr>
          <w:ilvl w:val="0"/>
          <w:numId w:val="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理财产品份额：指投资者持有本理财产品的单位数额。投资者基于其所持有的理财产品单位数额享有理财产品利益、承担理财产品风险。</w:t>
      </w:r>
    </w:p>
    <w:p>
      <w:pPr>
        <w:numPr>
          <w:ilvl w:val="0"/>
          <w:numId w:val="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理财产品资产净值/理财资产净值/产品资产净值：产品资产净值=产品资产总值-产品负债总值。</w:t>
      </w:r>
    </w:p>
    <w:p>
      <w:pPr>
        <w:numPr>
          <w:ilvl w:val="0"/>
          <w:numId w:val="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产品资产总值：指产品拥有的各类有价证券、银行存款、应收款项及其他资产的价值总和。</w:t>
      </w:r>
    </w:p>
    <w:p>
      <w:pPr>
        <w:numPr>
          <w:ilvl w:val="0"/>
          <w:numId w:val="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产品负债总值：指产品运作及融资时形成的负债价值总和，包括融资资金本息、应付各项费用（包括托管费、销售</w:t>
      </w:r>
      <w:r>
        <w:rPr>
          <w:rFonts w:ascii="楷体" w:hAnsi="楷体" w:eastAsia="楷体" w:cs="Calibri"/>
          <w:sz w:val="24"/>
          <w:szCs w:val="24"/>
        </w:rPr>
        <w:t>服务费、</w:t>
      </w:r>
      <w:r>
        <w:rPr>
          <w:rFonts w:hint="eastAsia" w:ascii="楷体" w:hAnsi="楷体" w:eastAsia="楷体" w:cs="Calibri"/>
          <w:sz w:val="24"/>
          <w:szCs w:val="24"/>
        </w:rPr>
        <w:t>投资管理费、超额业绩报酬、其他费用等）、应付税金及其他应付款项等。</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理财产品份额单位净值/理财产品单位净值/单位净值：指理财产品份额的单位净值，即每1份理财产品份额以人民币计价的价格。理财产品单位净值=理财资产净值/产品总份额。投资者按该份额</w:t>
      </w:r>
      <w:r>
        <w:rPr>
          <w:rFonts w:hint="eastAsia" w:ascii="楷体" w:hAnsi="楷体" w:eastAsia="楷体" w:cs="Calibri"/>
          <w:sz w:val="24"/>
          <w:szCs w:val="24"/>
          <w:lang w:val="en-US" w:eastAsia="zh-CN"/>
        </w:rPr>
        <w:t>单位</w:t>
      </w:r>
      <w:r>
        <w:rPr>
          <w:rFonts w:hint="eastAsia" w:ascii="楷体" w:hAnsi="楷体" w:eastAsia="楷体" w:cs="Calibri"/>
          <w:sz w:val="24"/>
          <w:szCs w:val="24"/>
        </w:rPr>
        <w:t>净值进行理财产品申购、赎回和终止时分配。</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理财产品估值：指计算评估理财产品资产和负债以确定理财产品单位净值的过程。</w:t>
      </w:r>
    </w:p>
    <w:p>
      <w:pPr>
        <w:numPr>
          <w:ilvl w:val="0"/>
          <w:numId w:val="7"/>
        </w:numPr>
        <w:tabs>
          <w:tab w:val="left" w:pos="851"/>
        </w:tabs>
        <w:ind w:left="0" w:firstLine="482" w:firstLineChars="200"/>
        <w:rPr>
          <w:rFonts w:hint="eastAsia" w:ascii="楷体" w:hAnsi="楷体" w:eastAsia="楷体" w:cs="Calibri"/>
          <w:b/>
          <w:sz w:val="24"/>
          <w:szCs w:val="24"/>
        </w:rPr>
      </w:pPr>
      <w:r>
        <w:rPr>
          <w:rFonts w:hint="eastAsia" w:ascii="楷体" w:hAnsi="楷体" w:eastAsia="楷体" w:cs="Calibri"/>
          <w:b/>
          <w:sz w:val="24"/>
          <w:szCs w:val="24"/>
        </w:rPr>
        <w:t>★业绩比较基准：指管理人基于过往投资经验及对产品存续期投资市场波动的预判而对本产品所设定的投资目标。业绩比较基准不代表理财产品未来表现，不等于理财产品实际收益，不作为产品收益的业绩保证，投资须谨慎。</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利益/理财利益：指投资者因持有理财产品份额，按照销售文件约定取得或有权取得的理财产品管理人分配的理财产品资产。在理财产品对外投资资产正常回收的情况下，理财产品利益包括理财产品本金及理财产品收益。</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本金/理财本金：指就每一投资者而言，指投资者为认购/申购理财产品份额而向理财产品管理人交付的货币资金，即投资者的初始投资本金。就每一理财产品份额而言，在本理财产品成立时每一理财产品份额的初始投资本金为1元。为避免疑义，理财产品本金的称谓仅为方便计算理财产品利益而创设的，并非对投资者理财产品本金不受损失的承诺。</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★理财产品收益/理财收益：指投资者投资理财产品获得的投资收益，该收益为其获得分配的全部理财产品利益中扣除理财产品本金的部分。</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认购：指投资者根据理财产品说明书约定在募集期内申请购买本产品理财产品份额的行为。</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投资者资金账户：指投资者开立的银行账户，理财产品投资交易的资金遵循同卡进出原则，通过银行卡A认购/申购理财产品的资金，赎回或到期资金只能划转至银行卡A。</w:t>
      </w:r>
    </w:p>
    <w:p>
      <w:pPr>
        <w:numPr>
          <w:ilvl w:val="0"/>
          <w:numId w:val="7"/>
        </w:numPr>
        <w:tabs>
          <w:tab w:val="left" w:pos="851"/>
        </w:tabs>
        <w:ind w:left="0" w:firstLine="480" w:firstLineChars="200"/>
        <w:rPr>
          <w:rFonts w:hint="eastAsia" w:ascii="楷体" w:hAnsi="楷体" w:eastAsia="楷体" w:cs="Calibri"/>
          <w:sz w:val="24"/>
          <w:szCs w:val="24"/>
        </w:rPr>
      </w:pPr>
      <w:r>
        <w:rPr>
          <w:rFonts w:ascii="楷体" w:hAnsi="楷体" w:eastAsia="楷体" w:cs="Calibri"/>
          <w:sz w:val="24"/>
          <w:szCs w:val="24"/>
        </w:rPr>
        <w:t>申购、赎回申请</w:t>
      </w:r>
      <w:r>
        <w:rPr>
          <w:rFonts w:hint="eastAsia" w:ascii="楷体" w:hAnsi="楷体" w:eastAsia="楷体" w:cs="Calibri"/>
          <w:sz w:val="24"/>
          <w:szCs w:val="24"/>
        </w:rPr>
        <w:t>：</w:t>
      </w:r>
      <w:r>
        <w:rPr>
          <w:rFonts w:ascii="楷体" w:hAnsi="楷体" w:eastAsia="楷体" w:cs="Calibri"/>
          <w:sz w:val="24"/>
          <w:szCs w:val="24"/>
        </w:rPr>
        <w:t>指在</w:t>
      </w:r>
      <w:r>
        <w:rPr>
          <w:rFonts w:hint="eastAsia" w:ascii="楷体" w:hAnsi="楷体" w:eastAsia="楷体" w:cs="Calibri"/>
          <w:sz w:val="24"/>
          <w:szCs w:val="24"/>
        </w:rPr>
        <w:t>理财产品开放日</w:t>
      </w:r>
      <w:r>
        <w:rPr>
          <w:rFonts w:ascii="楷体" w:hAnsi="楷体" w:eastAsia="楷体" w:cs="Calibri"/>
          <w:sz w:val="24"/>
          <w:szCs w:val="24"/>
        </w:rPr>
        <w:t>投资者向</w:t>
      </w:r>
      <w:r>
        <w:rPr>
          <w:rFonts w:hint="eastAsia" w:ascii="楷体" w:hAnsi="楷体" w:eastAsia="楷体" w:cs="Calibri"/>
          <w:sz w:val="24"/>
          <w:szCs w:val="24"/>
        </w:rPr>
        <w:t>理财产品管理人</w:t>
      </w:r>
      <w:r>
        <w:rPr>
          <w:rFonts w:ascii="楷体" w:hAnsi="楷体" w:eastAsia="楷体" w:cs="Calibri"/>
          <w:sz w:val="24"/>
          <w:szCs w:val="24"/>
        </w:rPr>
        <w:t>提出申请对理财</w:t>
      </w:r>
      <w:r>
        <w:rPr>
          <w:rFonts w:hint="eastAsia" w:ascii="楷体" w:hAnsi="楷体" w:eastAsia="楷体" w:cs="Calibri"/>
          <w:sz w:val="24"/>
          <w:szCs w:val="24"/>
        </w:rPr>
        <w:t>产品</w:t>
      </w:r>
      <w:r>
        <w:rPr>
          <w:rFonts w:ascii="楷体" w:hAnsi="楷体" w:eastAsia="楷体" w:cs="Calibri"/>
          <w:sz w:val="24"/>
          <w:szCs w:val="24"/>
        </w:rPr>
        <w:t>份额进行购买或卖出的行为。</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巨额赎回：理财产品每个开放日投资者净赎回额（赎回申请份额总数扣除申购申请份额总数）超过本理财产品上一工作日日终份额10%时，即为发生巨额赎回。</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流动性受限资产：</w:t>
      </w:r>
      <w:r>
        <w:rPr>
          <w:rFonts w:hint="eastAsia" w:ascii="楷体" w:hAnsi="楷体" w:eastAsia="楷体" w:cs="Calibri"/>
          <w:kern w:val="2"/>
          <w:sz w:val="24"/>
          <w:szCs w:val="24"/>
        </w:rPr>
        <w:t>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r>
        <w:rPr>
          <w:rFonts w:hint="eastAsia" w:ascii="楷体" w:hAnsi="楷体" w:eastAsia="楷体" w:cs="Calibri"/>
          <w:kern w:val="2"/>
          <w:sz w:val="24"/>
          <w:szCs w:val="24"/>
          <w:lang w:val="en-US" w:eastAsia="zh-CN"/>
        </w:rPr>
        <w:t>法律法规或监管机构另有规定的，从其规定。</w:t>
      </w:r>
    </w:p>
    <w:p>
      <w:pPr>
        <w:numPr>
          <w:ilvl w:val="0"/>
          <w:numId w:val="7"/>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kern w:val="2"/>
          <w:sz w:val="24"/>
          <w:szCs w:val="24"/>
        </w:rPr>
        <w:t>7个工作日可变现资产</w:t>
      </w:r>
      <w:r>
        <w:rPr>
          <w:rFonts w:hint="eastAsia" w:ascii="楷体" w:hAnsi="楷体" w:eastAsia="楷体" w:cs="Calibri"/>
          <w:kern w:val="2"/>
          <w:sz w:val="24"/>
          <w:szCs w:val="24"/>
          <w:lang w:eastAsia="zh-CN"/>
        </w:rPr>
        <w:t>：</w:t>
      </w:r>
      <w:r>
        <w:rPr>
          <w:rFonts w:hint="eastAsia" w:ascii="楷体" w:hAnsi="楷体" w:eastAsia="楷体" w:cs="Calibri"/>
          <w:kern w:val="2"/>
          <w:sz w:val="24"/>
          <w:szCs w:val="24"/>
        </w:rPr>
        <w:t>包括可在交易所、银行间市场正常交易的股票、债券、非金融企业债务融资工具、期货及期权合约以及同业存单，7个工作日内到期或可支取的买入返售、银行存款，7个工作日内能够确认收到的各类应收款项等。</w:t>
      </w:r>
    </w:p>
    <w:p>
      <w:pPr>
        <w:numPr>
          <w:ilvl w:val="0"/>
          <w:numId w:val="0"/>
        </w:numPr>
        <w:tabs>
          <w:tab w:val="left" w:pos="993"/>
        </w:tabs>
        <w:ind w:leftChars="200"/>
        <w:rPr>
          <w:rFonts w:hint="eastAsia" w:ascii="楷体" w:hAnsi="楷体" w:eastAsia="楷体" w:cs="Calibri"/>
          <w:b/>
          <w:bCs/>
          <w:sz w:val="24"/>
          <w:szCs w:val="24"/>
        </w:rPr>
      </w:pPr>
      <w:r>
        <w:rPr>
          <w:rFonts w:hint="eastAsia" w:ascii="楷体" w:hAnsi="楷体" w:eastAsia="楷体" w:cs="Calibri"/>
          <w:b/>
          <w:bCs/>
          <w:sz w:val="24"/>
          <w:szCs w:val="24"/>
          <w:lang w:eastAsia="zh-CN"/>
        </w:rPr>
        <w:t>（</w:t>
      </w:r>
      <w:r>
        <w:rPr>
          <w:rFonts w:hint="eastAsia" w:ascii="楷体" w:hAnsi="楷体" w:eastAsia="楷体" w:cs="Calibri"/>
          <w:b/>
          <w:bCs/>
          <w:sz w:val="24"/>
          <w:szCs w:val="24"/>
          <w:lang w:val="en-US" w:eastAsia="zh-CN"/>
        </w:rPr>
        <w:t>三</w:t>
      </w:r>
      <w:r>
        <w:rPr>
          <w:rFonts w:hint="eastAsia" w:ascii="楷体" w:hAnsi="楷体" w:eastAsia="楷体" w:cs="Calibri"/>
          <w:b/>
          <w:bCs/>
          <w:sz w:val="24"/>
          <w:szCs w:val="24"/>
          <w:lang w:eastAsia="zh-CN"/>
        </w:rPr>
        <w:t>）</w:t>
      </w:r>
      <w:r>
        <w:rPr>
          <w:rFonts w:hint="eastAsia" w:ascii="楷体" w:hAnsi="楷体" w:eastAsia="楷体" w:cs="Calibri"/>
          <w:b/>
          <w:bCs/>
          <w:sz w:val="24"/>
          <w:szCs w:val="24"/>
        </w:rPr>
        <w:t>期间与日期</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工作日：</w:t>
      </w:r>
      <w:r>
        <w:rPr>
          <w:rFonts w:ascii="楷体" w:hAnsi="楷体" w:eastAsia="楷体" w:cs="Calibri"/>
          <w:sz w:val="24"/>
          <w:szCs w:val="24"/>
        </w:rPr>
        <w:t>指上海证券交易所和深圳证券交易所的正常开盘交易日</w:t>
      </w:r>
      <w:r>
        <w:rPr>
          <w:rFonts w:hint="eastAsia" w:ascii="楷体" w:hAnsi="楷体" w:eastAsia="楷体" w:cs="Calibri"/>
          <w:sz w:val="24"/>
          <w:szCs w:val="24"/>
        </w:rPr>
        <w:t>。</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交易日：</w:t>
      </w:r>
      <w:r>
        <w:rPr>
          <w:rFonts w:ascii="楷体" w:hAnsi="楷体" w:eastAsia="楷体" w:cs="Calibri"/>
          <w:sz w:val="24"/>
          <w:szCs w:val="24"/>
        </w:rPr>
        <w:t>指上海证券交易所和深圳证券交易所的正常开盘交易日</w:t>
      </w:r>
      <w:r>
        <w:rPr>
          <w:rFonts w:hint="eastAsia" w:ascii="楷体" w:hAnsi="楷体" w:eastAsia="楷体" w:cs="Calibri"/>
          <w:sz w:val="24"/>
          <w:szCs w:val="24"/>
        </w:rPr>
        <w:t>。</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成立日：指本产品开始运作的日期。</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份额登记日/份额确认日：指管理人对投资者提交的认购申请进行份额登记的日期。</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终止日/到期日：指本产品终止的日期。</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估值日：指产品管理人对理财产品项下资产进行估值的日期。</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兑付日：指投资者理财资金到达投资者资金账户的日期。</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募集期：指理财产品成立前，理财产品管理人接受理财产品认购的时间。</w:t>
      </w:r>
    </w:p>
    <w:p>
      <w:pPr>
        <w:numPr>
          <w:ilvl w:val="0"/>
          <w:numId w:val="8"/>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投资周期：投资周期指投资者持有理财产品份额所对应的理财资金由产品管理人进行投资运作的一段完整期间，每一个投资周期为该投资周期起始日至该投资周期终止日的理财期间。投资周期起始日：指每一个投资周期开始的日期。投资周期终止日：指每一个投资周期结束的日期。</w:t>
      </w:r>
    </w:p>
    <w:p>
      <w:pPr>
        <w:numPr>
          <w:ilvl w:val="0"/>
          <w:numId w:val="8"/>
        </w:numPr>
        <w:tabs>
          <w:tab w:val="left" w:pos="851"/>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产品存续期：指自理财产品成立日起，至理财产品终止日的期间。</w:t>
      </w:r>
    </w:p>
    <w:p>
      <w:pPr>
        <w:numPr>
          <w:ilvl w:val="0"/>
          <w:numId w:val="0"/>
        </w:numPr>
        <w:tabs>
          <w:tab w:val="left" w:pos="993"/>
        </w:tabs>
        <w:ind w:leftChars="200"/>
        <w:rPr>
          <w:rFonts w:hint="eastAsia" w:ascii="楷体" w:hAnsi="楷体" w:eastAsia="楷体" w:cs="Calibri"/>
          <w:b/>
          <w:bCs/>
          <w:sz w:val="24"/>
          <w:szCs w:val="24"/>
        </w:rPr>
      </w:pPr>
      <w:r>
        <w:rPr>
          <w:rFonts w:hint="eastAsia" w:ascii="楷体" w:hAnsi="楷体" w:eastAsia="楷体" w:cs="Calibri"/>
          <w:b/>
          <w:bCs/>
          <w:sz w:val="24"/>
          <w:szCs w:val="24"/>
          <w:lang w:eastAsia="zh-CN"/>
        </w:rPr>
        <w:t>（</w:t>
      </w:r>
      <w:r>
        <w:rPr>
          <w:rFonts w:hint="eastAsia" w:ascii="楷体" w:hAnsi="楷体" w:eastAsia="楷体" w:cs="Calibri"/>
          <w:b/>
          <w:bCs/>
          <w:sz w:val="24"/>
          <w:szCs w:val="24"/>
          <w:lang w:val="en-US" w:eastAsia="zh-CN"/>
        </w:rPr>
        <w:t>四</w:t>
      </w:r>
      <w:r>
        <w:rPr>
          <w:rFonts w:hint="eastAsia" w:ascii="楷体" w:hAnsi="楷体" w:eastAsia="楷体" w:cs="Calibri"/>
          <w:b/>
          <w:bCs/>
          <w:sz w:val="24"/>
          <w:szCs w:val="24"/>
          <w:lang w:eastAsia="zh-CN"/>
        </w:rPr>
        <w:t>）</w:t>
      </w:r>
      <w:r>
        <w:rPr>
          <w:rFonts w:hint="eastAsia" w:ascii="楷体" w:hAnsi="楷体" w:eastAsia="楷体" w:cs="Calibri"/>
          <w:b/>
          <w:bCs/>
          <w:sz w:val="24"/>
          <w:szCs w:val="24"/>
        </w:rPr>
        <w:t>其他</w:t>
      </w:r>
    </w:p>
    <w:p>
      <w:pPr>
        <w:numPr>
          <w:ilvl w:val="0"/>
          <w:numId w:val="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元：指人民币元。</w:t>
      </w:r>
    </w:p>
    <w:p>
      <w:pPr>
        <w:numPr>
          <w:ilvl w:val="0"/>
          <w:numId w:val="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适用法律：指在理财销售文件签署日和履行过程中，中国（不包括香港特别行政区、澳门特别行政区和台湾地区）任何立法机构、政府部门、银行间交易商协会、证券交易所、证券登记结算机构、基金业协会依法颁布的，适用于本理财产品相关事宜的法律、行政法规、地方法规、部委规章、地方政府规章、规范性文件、规则、通知、须知、业务指南、指引或操作规程，及其有效的修改、更新或补充。</w:t>
      </w:r>
    </w:p>
    <w:p>
      <w:pPr>
        <w:numPr>
          <w:ilvl w:val="0"/>
          <w:numId w:val="9"/>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lang w:val="en-US" w:eastAsia="zh-CN"/>
        </w:rPr>
        <w:t>不可抗力：指理财产品合同各方当事人所不能预见、不能避免且不能克服的客观情况，使得任何一方当事人无法及时履行理财合同的全部或部分义务，该类事件包括但不限于：</w:t>
      </w:r>
    </w:p>
    <w:p>
      <w:pPr>
        <w:numPr>
          <w:ilvl w:val="0"/>
          <w:numId w:val="10"/>
        </w:numPr>
        <w:tabs>
          <w:tab w:val="left" w:pos="728"/>
        </w:tabs>
        <w:ind w:left="420" w:leftChars="200" w:firstLine="0" w:firstLineChars="0"/>
        <w:rPr>
          <w:rFonts w:hint="eastAsia" w:ascii="楷体" w:hAnsi="楷体" w:eastAsia="楷体" w:cs="Calibri"/>
          <w:sz w:val="24"/>
          <w:szCs w:val="24"/>
          <w:lang w:val="en-US" w:eastAsia="zh-CN"/>
        </w:rPr>
      </w:pPr>
      <w:r>
        <w:rPr>
          <w:rFonts w:hint="eastAsia" w:ascii="楷体" w:hAnsi="楷体" w:eastAsia="楷体" w:cs="Calibri"/>
          <w:sz w:val="24"/>
          <w:szCs w:val="24"/>
          <w:lang w:val="en-US" w:eastAsia="zh-CN"/>
        </w:rPr>
        <w:t>地震、海啸、台风、洪水、火灾、停电、严重传染病等。</w:t>
      </w:r>
    </w:p>
    <w:p>
      <w:pPr>
        <w:numPr>
          <w:ilvl w:val="0"/>
          <w:numId w:val="10"/>
        </w:numPr>
        <w:tabs>
          <w:tab w:val="left" w:pos="728"/>
        </w:tabs>
        <w:ind w:left="420" w:leftChars="200" w:firstLine="0" w:firstLineChars="0"/>
        <w:rPr>
          <w:rFonts w:hint="default" w:ascii="楷体" w:hAnsi="楷体" w:eastAsia="楷体" w:cs="Calibri"/>
          <w:sz w:val="24"/>
          <w:szCs w:val="24"/>
          <w:lang w:val="en-US" w:eastAsia="zh-CN"/>
        </w:rPr>
      </w:pPr>
      <w:r>
        <w:rPr>
          <w:rFonts w:hint="eastAsia" w:ascii="楷体" w:hAnsi="楷体" w:eastAsia="楷体" w:cs="Calibri"/>
          <w:sz w:val="24"/>
          <w:szCs w:val="24"/>
          <w:lang w:val="en-US" w:eastAsia="zh-CN"/>
        </w:rPr>
        <w:t>战争、政变、恐怖主义、骚乱、罢工等。</w:t>
      </w:r>
    </w:p>
    <w:p>
      <w:pPr>
        <w:numPr>
          <w:ilvl w:val="0"/>
          <w:numId w:val="0"/>
        </w:numPr>
        <w:tabs>
          <w:tab w:val="left" w:pos="728"/>
        </w:tabs>
        <w:ind w:left="0" w:leftChars="0" w:firstLine="408" w:firstLineChars="170"/>
        <w:rPr>
          <w:rFonts w:hint="eastAsia" w:ascii="楷体" w:hAnsi="楷体" w:eastAsia="楷体" w:cs="Calibri"/>
          <w:sz w:val="24"/>
          <w:szCs w:val="24"/>
          <w:lang w:val="en-US" w:eastAsia="zh-CN"/>
        </w:rPr>
      </w:pPr>
      <w:r>
        <w:rPr>
          <w:rFonts w:hint="eastAsia" w:ascii="楷体" w:hAnsi="楷体" w:eastAsia="楷体" w:cs="Calibri"/>
          <w:sz w:val="24"/>
          <w:szCs w:val="24"/>
          <w:lang w:val="en-US" w:eastAsia="zh-CN"/>
        </w:rPr>
        <w:t>（3）新的法律法规、国家政策颁布实施导致原适用的法律法规、国家政策失效。</w:t>
      </w:r>
    </w:p>
    <w:p>
      <w:pPr>
        <w:numPr>
          <w:ilvl w:val="0"/>
          <w:numId w:val="0"/>
        </w:numPr>
        <w:tabs>
          <w:tab w:val="left" w:pos="728"/>
        </w:tabs>
        <w:ind w:left="0" w:leftChars="0" w:firstLine="408" w:firstLineChars="170"/>
        <w:rPr>
          <w:rFonts w:hint="eastAsia" w:ascii="楷体" w:hAnsi="楷体" w:eastAsia="楷体" w:cs="Calibri"/>
          <w:sz w:val="24"/>
          <w:szCs w:val="24"/>
          <w:lang w:val="en-US" w:eastAsia="zh-CN"/>
        </w:rPr>
      </w:pPr>
      <w:r>
        <w:rPr>
          <w:rFonts w:hint="eastAsia" w:ascii="楷体" w:hAnsi="楷体" w:eastAsia="楷体" w:cs="Calibri"/>
          <w:sz w:val="24"/>
          <w:szCs w:val="24"/>
          <w:lang w:val="en-US" w:eastAsia="zh-CN"/>
        </w:rPr>
        <w:t>（4）因不可归咎于理财产品合同当事人的事由，金融监管机构强制要求终止该理财产品。</w:t>
      </w:r>
    </w:p>
    <w:p>
      <w:pPr>
        <w:numPr>
          <w:ilvl w:val="0"/>
          <w:numId w:val="0"/>
        </w:numPr>
        <w:tabs>
          <w:tab w:val="left" w:pos="728"/>
        </w:tabs>
        <w:ind w:left="0" w:leftChars="0" w:firstLine="408" w:firstLineChars="170"/>
        <w:rPr>
          <w:rFonts w:hint="eastAsia" w:ascii="楷体" w:hAnsi="楷体" w:eastAsia="楷体" w:cs="Calibri"/>
          <w:sz w:val="24"/>
          <w:szCs w:val="24"/>
          <w:lang w:val="en-US" w:eastAsia="zh-CN"/>
        </w:rPr>
      </w:pPr>
      <w:r>
        <w:rPr>
          <w:rFonts w:hint="eastAsia" w:ascii="楷体" w:hAnsi="楷体" w:eastAsia="楷体" w:cs="Calibri"/>
          <w:sz w:val="24"/>
          <w:szCs w:val="24"/>
          <w:lang w:val="en-US" w:eastAsia="zh-CN"/>
        </w:rPr>
        <w:t>（5）网络系统遭受攻击、电信部门技术调整或故障等原因导致的服务中断和延迟等。</w:t>
      </w:r>
    </w:p>
    <w:p>
      <w:pPr>
        <w:numPr>
          <w:ilvl w:val="0"/>
          <w:numId w:val="3"/>
        </w:numPr>
        <w:tabs>
          <w:tab w:val="left" w:pos="1134"/>
        </w:tabs>
        <w:ind w:firstLine="562" w:firstLineChars="200"/>
        <w:rPr>
          <w:rFonts w:ascii="楷体" w:hAnsi="楷体" w:eastAsia="楷体"/>
          <w:b/>
          <w:sz w:val="28"/>
          <w:szCs w:val="28"/>
        </w:rPr>
      </w:pPr>
      <w:r>
        <w:rPr>
          <w:rFonts w:hint="eastAsia" w:ascii="楷体" w:hAnsi="楷体" w:eastAsia="楷体"/>
          <w:b/>
          <w:sz w:val="28"/>
          <w:szCs w:val="28"/>
        </w:rPr>
        <w:t>风险评级</w:t>
      </w:r>
    </w:p>
    <w:p>
      <w:pPr>
        <w:ind w:firstLine="480" w:firstLineChars="200"/>
        <w:rPr>
          <w:rFonts w:hint="eastAsia" w:ascii="楷体" w:hAnsi="楷体" w:eastAsia="楷体"/>
          <w:sz w:val="24"/>
          <w:szCs w:val="24"/>
        </w:rPr>
      </w:pPr>
      <w:r>
        <w:rPr>
          <w:rFonts w:hint="eastAsia" w:ascii="楷体" w:hAnsi="楷体" w:eastAsia="楷体"/>
          <w:sz w:val="24"/>
          <w:szCs w:val="24"/>
        </w:rPr>
        <w:t>本理财产品经苏银理财内部风险评级为</w:t>
      </w:r>
      <w:r>
        <w:rPr>
          <w:rFonts w:hint="eastAsia" w:ascii="楷体" w:hAnsi="楷体" w:eastAsia="楷体"/>
          <w:b/>
          <w:sz w:val="24"/>
          <w:szCs w:val="24"/>
          <w:u w:val="single"/>
        </w:rPr>
        <w:t>★★二级，适合中低风险型投资者，适合投资策略为稳健发展</w:t>
      </w:r>
      <w:r>
        <w:rPr>
          <w:rFonts w:hint="eastAsia" w:ascii="楷体" w:hAnsi="楷体" w:eastAsia="楷体"/>
          <w:b/>
          <w:sz w:val="24"/>
          <w:szCs w:val="24"/>
          <w:u w:val="single"/>
          <w:lang w:val="en-US" w:eastAsia="zh-CN"/>
        </w:rPr>
        <w:t>的投资者</w:t>
      </w:r>
      <w:r>
        <w:rPr>
          <w:rFonts w:hint="eastAsia" w:ascii="楷体" w:hAnsi="楷体" w:eastAsia="楷体"/>
          <w:sz w:val="24"/>
          <w:szCs w:val="24"/>
        </w:rPr>
        <w:t>。本评级为苏银理财有限责任公司内部评级，由苏银理财根据理财产品的投资组合、同类产品过往业绩和风险状况等因素，对理财产品进行评级，仅供客户参考。</w:t>
      </w:r>
    </w:p>
    <w:p>
      <w:pPr>
        <w:ind w:firstLine="480" w:firstLineChars="200"/>
        <w:rPr>
          <w:rFonts w:hint="eastAsia" w:ascii="楷体" w:hAnsi="楷体" w:eastAsia="楷体"/>
          <w:sz w:val="24"/>
          <w:szCs w:val="24"/>
        </w:rPr>
      </w:pPr>
      <w:r>
        <w:rPr>
          <w:rFonts w:hint="eastAsia" w:ascii="楷体" w:hAnsi="楷体" w:eastAsia="楷体"/>
          <w:sz w:val="24"/>
          <w:szCs w:val="24"/>
          <w:highlight w:val="none"/>
        </w:rPr>
        <w:t>如本产品通过代理销售机构渠道销售</w:t>
      </w:r>
      <w:r>
        <w:rPr>
          <w:rFonts w:hint="eastAsia" w:ascii="楷体" w:hAnsi="楷体" w:eastAsia="楷体"/>
          <w:sz w:val="24"/>
          <w:szCs w:val="24"/>
          <w:highlight w:val="none"/>
          <w:lang w:eastAsia="zh-CN"/>
        </w:rPr>
        <w:t>，</w:t>
      </w:r>
      <w:r>
        <w:rPr>
          <w:rFonts w:hint="eastAsia" w:ascii="楷体" w:hAnsi="楷体" w:eastAsia="楷体"/>
          <w:sz w:val="24"/>
          <w:szCs w:val="24"/>
        </w:rPr>
        <w:t>代理销售机构应当根据本机构的方式和方法，依据理财产品的投资组合、同类产品过往业绩和风险状况等因素，独立、审慎地对代理销售的理财产品进行销售评级，并向苏银理财及时、准确提供本机构销售评级结果等信息。销售评级与苏银理财产品评级结果不一致的，代理销售机构应当采用对应较高风险等级的评级结果并予以披露。</w:t>
      </w:r>
    </w:p>
    <w:p>
      <w:pPr>
        <w:ind w:firstLine="482" w:firstLineChars="200"/>
        <w:rPr>
          <w:rFonts w:ascii="楷体" w:hAnsi="楷体" w:eastAsia="楷体"/>
          <w:b/>
          <w:sz w:val="24"/>
          <w:szCs w:val="24"/>
          <w:u w:val="single"/>
        </w:rPr>
      </w:pPr>
      <w:r>
        <w:rPr>
          <w:rFonts w:hint="eastAsia" w:ascii="楷体" w:hAnsi="楷体" w:eastAsia="楷体"/>
          <w:b/>
          <w:bCs/>
          <w:sz w:val="24"/>
          <w:szCs w:val="24"/>
          <w:highlight w:val="none"/>
          <w:u w:val="single"/>
        </w:rPr>
        <w:t>如本产品通过代理销售机构渠道销售</w:t>
      </w:r>
      <w:r>
        <w:rPr>
          <w:rFonts w:hint="eastAsia" w:ascii="楷体" w:hAnsi="楷体" w:eastAsia="楷体"/>
          <w:b/>
          <w:sz w:val="24"/>
          <w:szCs w:val="24"/>
          <w:u w:val="single"/>
        </w:rPr>
        <w:t>，理财产品评级以代理销售机构最终披露的评级结果为准。</w:t>
      </w:r>
    </w:p>
    <w:p>
      <w:pPr>
        <w:ind w:firstLine="480" w:firstLineChars="200"/>
        <w:rPr>
          <w:rFonts w:hint="eastAsia" w:ascii="楷体" w:hAnsi="楷体" w:eastAsia="楷体"/>
          <w:b/>
          <w:sz w:val="24"/>
          <w:szCs w:val="24"/>
          <w:u w:val="single"/>
        </w:rPr>
      </w:pPr>
      <w:r>
        <w:rPr>
          <w:rFonts w:hint="eastAsia" w:ascii="楷体" w:hAnsi="楷体" w:eastAsia="楷体"/>
          <w:sz w:val="24"/>
          <w:szCs w:val="24"/>
        </w:rPr>
        <w:t>销售机构负责完成投资者风险承受能力评估，并在遵循投资者适当性原则的前提下进行本理财产品的销售活动。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3"/>
        <w:gridCol w:w="1842"/>
        <w:gridCol w:w="2268"/>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2143"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风险星级</w:t>
            </w:r>
          </w:p>
        </w:tc>
        <w:tc>
          <w:tcPr>
            <w:tcW w:w="1842"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风险级别</w:t>
            </w:r>
          </w:p>
        </w:tc>
        <w:tc>
          <w:tcPr>
            <w:tcW w:w="2268"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适合的投资者类别</w:t>
            </w:r>
          </w:p>
        </w:tc>
        <w:tc>
          <w:tcPr>
            <w:tcW w:w="2084"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适合投资策略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1" w:hRule="atLeast"/>
          <w:jc w:val="center"/>
        </w:trPr>
        <w:tc>
          <w:tcPr>
            <w:tcW w:w="2143" w:type="dxa"/>
            <w:tcBorders>
              <w:bottom w:val="single" w:color="auto" w:sz="4" w:space="0"/>
            </w:tcBorders>
            <w:noWrap w:val="0"/>
            <w:vAlign w:val="bottom"/>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w:t>
            </w:r>
          </w:p>
        </w:tc>
        <w:tc>
          <w:tcPr>
            <w:tcW w:w="1842" w:type="dxa"/>
            <w:tcBorders>
              <w:bottom w:val="single" w:color="auto" w:sz="4" w:space="0"/>
            </w:tcBorders>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一级（PR1）</w:t>
            </w:r>
          </w:p>
        </w:tc>
        <w:tc>
          <w:tcPr>
            <w:tcW w:w="2268" w:type="dxa"/>
            <w:tcBorders>
              <w:bottom w:val="single" w:color="auto" w:sz="4" w:space="0"/>
            </w:tcBorders>
            <w:noWrap w:val="0"/>
            <w:vAlign w:val="center"/>
          </w:tcPr>
          <w:p>
            <w:pPr>
              <w:autoSpaceDE w:val="0"/>
              <w:autoSpaceDN w:val="0"/>
              <w:adjustRightInd w:val="0"/>
              <w:jc w:val="center"/>
              <w:rPr>
                <w:rFonts w:hint="eastAsia" w:ascii="楷体" w:hAnsi="楷体" w:eastAsia="楷体" w:cs="浠垮畫"/>
                <w:kern w:val="0"/>
                <w:sz w:val="24"/>
                <w:szCs w:val="24"/>
              </w:rPr>
            </w:pPr>
            <w:r>
              <w:rPr>
                <w:rFonts w:hint="eastAsia" w:ascii="楷体" w:hAnsi="楷体" w:eastAsia="楷体" w:cs="浠垮畫"/>
                <w:kern w:val="0"/>
                <w:sz w:val="24"/>
                <w:szCs w:val="24"/>
              </w:rPr>
              <w:t>低风险型</w:t>
            </w:r>
          </w:p>
        </w:tc>
        <w:tc>
          <w:tcPr>
            <w:tcW w:w="2084" w:type="dxa"/>
            <w:tcBorders>
              <w:bottom w:val="single" w:color="auto" w:sz="4" w:space="0"/>
            </w:tcBorders>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风险控制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143" w:type="dxa"/>
            <w:shd w:val="clear" w:color="auto" w:fill="FFFFFF"/>
            <w:noWrap w:val="0"/>
            <w:vAlign w:val="bottom"/>
          </w:tcPr>
          <w:p>
            <w:pPr>
              <w:autoSpaceDE w:val="0"/>
              <w:autoSpaceDN w:val="0"/>
              <w:adjustRightInd w:val="0"/>
              <w:jc w:val="center"/>
              <w:rPr>
                <w:rFonts w:ascii="楷体" w:hAnsi="楷体" w:eastAsia="楷体" w:cs="浠垮畫"/>
                <w:b/>
                <w:kern w:val="0"/>
                <w:sz w:val="24"/>
                <w:szCs w:val="24"/>
              </w:rPr>
            </w:pPr>
            <w:r>
              <w:rPr>
                <w:rFonts w:hint="eastAsia" w:ascii="楷体" w:hAnsi="楷体" w:eastAsia="楷体" w:cs="浠垮畫"/>
                <w:b/>
                <w:kern w:val="0"/>
                <w:sz w:val="24"/>
                <w:szCs w:val="24"/>
              </w:rPr>
              <w:t>★★</w:t>
            </w:r>
          </w:p>
        </w:tc>
        <w:tc>
          <w:tcPr>
            <w:tcW w:w="1842" w:type="dxa"/>
            <w:shd w:val="clear" w:color="auto" w:fill="FFFFFF"/>
            <w:noWrap w:val="0"/>
            <w:vAlign w:val="center"/>
          </w:tcPr>
          <w:p>
            <w:pPr>
              <w:autoSpaceDE w:val="0"/>
              <w:autoSpaceDN w:val="0"/>
              <w:adjustRightInd w:val="0"/>
              <w:jc w:val="center"/>
              <w:rPr>
                <w:rFonts w:ascii="楷体" w:hAnsi="楷体" w:eastAsia="楷体" w:cs="浠垮畫"/>
                <w:b/>
                <w:kern w:val="0"/>
                <w:sz w:val="24"/>
                <w:szCs w:val="24"/>
              </w:rPr>
            </w:pPr>
            <w:r>
              <w:rPr>
                <w:rFonts w:hint="eastAsia" w:ascii="楷体" w:hAnsi="楷体" w:eastAsia="楷体" w:cs="浠垮畫"/>
                <w:b/>
                <w:kern w:val="0"/>
                <w:sz w:val="24"/>
                <w:szCs w:val="24"/>
              </w:rPr>
              <w:t>二级（PR2）</w:t>
            </w:r>
          </w:p>
        </w:tc>
        <w:tc>
          <w:tcPr>
            <w:tcW w:w="2268" w:type="dxa"/>
            <w:shd w:val="clear" w:color="auto" w:fill="FFFFFF"/>
            <w:noWrap w:val="0"/>
            <w:vAlign w:val="center"/>
          </w:tcPr>
          <w:p>
            <w:pPr>
              <w:autoSpaceDE w:val="0"/>
              <w:autoSpaceDN w:val="0"/>
              <w:adjustRightInd w:val="0"/>
              <w:jc w:val="center"/>
              <w:rPr>
                <w:rFonts w:ascii="楷体" w:hAnsi="楷体" w:eastAsia="楷体" w:cs="浠垮畫"/>
                <w:b/>
                <w:kern w:val="0"/>
                <w:sz w:val="24"/>
                <w:szCs w:val="24"/>
              </w:rPr>
            </w:pPr>
            <w:r>
              <w:rPr>
                <w:rFonts w:hint="eastAsia" w:ascii="楷体" w:hAnsi="楷体" w:eastAsia="楷体" w:cs="浠垮畫"/>
                <w:b/>
                <w:kern w:val="0"/>
                <w:sz w:val="24"/>
                <w:szCs w:val="24"/>
              </w:rPr>
              <w:t>中低风险型</w:t>
            </w:r>
          </w:p>
        </w:tc>
        <w:tc>
          <w:tcPr>
            <w:tcW w:w="2084" w:type="dxa"/>
            <w:shd w:val="clear" w:color="auto" w:fill="FFFFFF"/>
            <w:noWrap w:val="0"/>
            <w:vAlign w:val="center"/>
          </w:tcPr>
          <w:p>
            <w:pPr>
              <w:autoSpaceDE w:val="0"/>
              <w:autoSpaceDN w:val="0"/>
              <w:adjustRightInd w:val="0"/>
              <w:jc w:val="center"/>
              <w:rPr>
                <w:rFonts w:ascii="楷体" w:hAnsi="楷体" w:eastAsia="楷体" w:cs="浠垮畫"/>
                <w:b/>
                <w:kern w:val="0"/>
                <w:sz w:val="24"/>
                <w:szCs w:val="24"/>
              </w:rPr>
            </w:pPr>
            <w:r>
              <w:rPr>
                <w:rFonts w:hint="eastAsia" w:ascii="楷体" w:hAnsi="楷体" w:eastAsia="楷体" w:cs="浠垮畫"/>
                <w:b/>
                <w:kern w:val="0"/>
                <w:sz w:val="24"/>
                <w:szCs w:val="24"/>
              </w:rPr>
              <w:t>稳健发展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143" w:type="dxa"/>
            <w:shd w:val="clear" w:color="FFFFFF" w:fill="FFFFFF"/>
            <w:noWrap w:val="0"/>
            <w:vAlign w:val="bottom"/>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w:t>
            </w:r>
          </w:p>
        </w:tc>
        <w:tc>
          <w:tcPr>
            <w:tcW w:w="1842" w:type="dxa"/>
            <w:shd w:val="clear" w:color="FFFFFF" w:fill="FFFFFF"/>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三级（PR3）</w:t>
            </w:r>
          </w:p>
        </w:tc>
        <w:tc>
          <w:tcPr>
            <w:tcW w:w="2268" w:type="dxa"/>
            <w:shd w:val="clear" w:color="FFFFFF" w:fill="FFFFFF"/>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中风险型</w:t>
            </w:r>
          </w:p>
        </w:tc>
        <w:tc>
          <w:tcPr>
            <w:tcW w:w="2084" w:type="dxa"/>
            <w:shd w:val="clear" w:color="FFFFFF" w:fill="FFFFFF"/>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均衡发展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2143" w:type="dxa"/>
            <w:noWrap w:val="0"/>
            <w:vAlign w:val="bottom"/>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w:t>
            </w:r>
          </w:p>
        </w:tc>
        <w:tc>
          <w:tcPr>
            <w:tcW w:w="1842"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四级（PR4）</w:t>
            </w:r>
          </w:p>
        </w:tc>
        <w:tc>
          <w:tcPr>
            <w:tcW w:w="2268"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中高风险型</w:t>
            </w:r>
          </w:p>
        </w:tc>
        <w:tc>
          <w:tcPr>
            <w:tcW w:w="2084"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积极成长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143" w:type="dxa"/>
            <w:noWrap w:val="0"/>
            <w:vAlign w:val="bottom"/>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w:t>
            </w:r>
          </w:p>
        </w:tc>
        <w:tc>
          <w:tcPr>
            <w:tcW w:w="1842"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五级（PR5）</w:t>
            </w:r>
          </w:p>
        </w:tc>
        <w:tc>
          <w:tcPr>
            <w:tcW w:w="2268"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高风险型</w:t>
            </w:r>
          </w:p>
        </w:tc>
        <w:tc>
          <w:tcPr>
            <w:tcW w:w="2084" w:type="dxa"/>
            <w:noWrap w:val="0"/>
            <w:vAlign w:val="center"/>
          </w:tcPr>
          <w:p>
            <w:pPr>
              <w:autoSpaceDE w:val="0"/>
              <w:autoSpaceDN w:val="0"/>
              <w:adjustRightInd w:val="0"/>
              <w:jc w:val="center"/>
              <w:rPr>
                <w:rFonts w:ascii="楷体" w:hAnsi="楷体" w:eastAsia="楷体" w:cs="浠垮畫"/>
                <w:kern w:val="0"/>
                <w:sz w:val="24"/>
                <w:szCs w:val="24"/>
              </w:rPr>
            </w:pPr>
            <w:r>
              <w:rPr>
                <w:rFonts w:hint="eastAsia" w:ascii="楷体" w:hAnsi="楷体" w:eastAsia="楷体" w:cs="浠垮畫"/>
                <w:kern w:val="0"/>
                <w:sz w:val="24"/>
                <w:szCs w:val="24"/>
              </w:rPr>
              <w:t>风险承受</w:t>
            </w:r>
          </w:p>
        </w:tc>
      </w:tr>
    </w:tbl>
    <w:p>
      <w:pPr>
        <w:numPr>
          <w:ilvl w:val="0"/>
          <w:numId w:val="3"/>
        </w:numPr>
        <w:tabs>
          <w:tab w:val="left" w:pos="1134"/>
        </w:tabs>
        <w:ind w:firstLine="562" w:firstLineChars="200"/>
        <w:rPr>
          <w:rFonts w:hint="eastAsia" w:ascii="楷体" w:hAnsi="楷体" w:eastAsia="楷体"/>
          <w:b/>
          <w:sz w:val="28"/>
          <w:szCs w:val="28"/>
        </w:rPr>
      </w:pPr>
      <w:r>
        <w:rPr>
          <w:rFonts w:hint="eastAsia" w:ascii="楷体" w:hAnsi="楷体" w:eastAsia="楷体"/>
          <w:b/>
          <w:sz w:val="28"/>
          <w:szCs w:val="28"/>
        </w:rPr>
        <w:t>投资管理</w:t>
      </w:r>
    </w:p>
    <w:p>
      <w:pPr>
        <w:numPr>
          <w:ilvl w:val="0"/>
          <w:numId w:val="11"/>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投资范围和比例</w:t>
      </w:r>
    </w:p>
    <w:p>
      <w:pPr>
        <w:ind w:firstLine="480" w:firstLineChars="200"/>
        <w:rPr>
          <w:rFonts w:ascii="楷体" w:hAnsi="楷体" w:eastAsia="楷体"/>
          <w:sz w:val="24"/>
          <w:szCs w:val="24"/>
        </w:rPr>
      </w:pPr>
      <w:r>
        <w:rPr>
          <w:rFonts w:hint="eastAsia" w:ascii="楷体" w:hAnsi="楷体" w:eastAsia="楷体"/>
          <w:sz w:val="24"/>
          <w:szCs w:val="24"/>
        </w:rPr>
        <w:t>投资范围和投资比例：本理财产品直接或间接投资于现金、银行存款、债券回购、中央银行票据、同业存单、拆借、货币市场基金、债券、在银行间市场和证券交易所市场发行的资产支持证券和监管机构允许投资的其他资产。具体</w:t>
      </w:r>
      <w:r>
        <w:rPr>
          <w:rFonts w:ascii="楷体" w:hAnsi="楷体" w:eastAsia="楷体"/>
          <w:sz w:val="24"/>
          <w:szCs w:val="24"/>
        </w:rPr>
        <w:t>投资比例为：</w:t>
      </w:r>
      <w:r>
        <w:rPr>
          <w:rFonts w:hint="eastAsia" w:ascii="楷体" w:hAnsi="楷体" w:eastAsia="楷体"/>
          <w:sz w:val="24"/>
          <w:szCs w:val="24"/>
        </w:rPr>
        <w:t>固定收益类资产占产品资产总值比例不低于80%，其他符合监管要求的资产占产品资产总值比例不高于20%。其中现金或者到期日在一年以内的国债、中央银行票据和政策性金融债券不低于产品净资产的5%。</w:t>
      </w:r>
    </w:p>
    <w:p>
      <w:pPr>
        <w:ind w:firstLine="480" w:firstLineChars="200"/>
        <w:rPr>
          <w:rFonts w:hint="eastAsia" w:ascii="楷体" w:hAnsi="楷体" w:eastAsia="楷体"/>
          <w:sz w:val="24"/>
          <w:szCs w:val="24"/>
        </w:rPr>
      </w:pPr>
      <w:r>
        <w:rPr>
          <w:rFonts w:hint="eastAsia" w:ascii="楷体" w:hAnsi="楷体" w:eastAsia="楷体"/>
          <w:sz w:val="24"/>
          <w:szCs w:val="24"/>
        </w:rPr>
        <w:t>相关法律法规和监管部门对以上投资范围和配置比例有另行规定的，按照监管最新规定执行。非因管理人主观因素导致突破前述比例限制的，管理人将在流动性受限资产可出售、可转让或者恢复交易的15个交易日内调整至符合相关要求。</w:t>
      </w:r>
    </w:p>
    <w:p>
      <w:pPr>
        <w:numPr>
          <w:ilvl w:val="0"/>
          <w:numId w:val="11"/>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投资集中度限制</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1.</w:t>
      </w:r>
      <w:r>
        <w:rPr>
          <w:rFonts w:hint="eastAsia" w:ascii="楷体" w:hAnsi="楷体" w:eastAsia="楷体" w:cs="Calibri"/>
          <w:sz w:val="24"/>
          <w:szCs w:val="24"/>
        </w:rPr>
        <w:t>本产品持有单只证券或者单只公募证券投资基金的市值不得超过产品净</w:t>
      </w:r>
    </w:p>
    <w:p>
      <w:pPr>
        <w:tabs>
          <w:tab w:val="left" w:pos="728"/>
        </w:tabs>
        <w:rPr>
          <w:rFonts w:ascii="楷体" w:hAnsi="楷体" w:eastAsia="楷体" w:cs="Calibri"/>
          <w:sz w:val="24"/>
          <w:szCs w:val="24"/>
        </w:rPr>
      </w:pPr>
      <w:r>
        <w:rPr>
          <w:rFonts w:hint="eastAsia" w:ascii="楷体" w:hAnsi="楷体" w:eastAsia="楷体" w:cs="Calibri"/>
          <w:sz w:val="24"/>
          <w:szCs w:val="24"/>
        </w:rPr>
        <w:t>资产的</w:t>
      </w:r>
      <w:r>
        <w:rPr>
          <w:rFonts w:ascii="楷体" w:hAnsi="楷体" w:eastAsia="楷体" w:cs="Calibri"/>
          <w:sz w:val="24"/>
          <w:szCs w:val="24"/>
        </w:rPr>
        <w:t>10%</w:t>
      </w:r>
      <w:r>
        <w:rPr>
          <w:rFonts w:hint="eastAsia" w:ascii="楷体" w:hAnsi="楷体" w:eastAsia="楷体" w:cs="Calibri"/>
          <w:sz w:val="24"/>
          <w:szCs w:val="24"/>
        </w:rPr>
        <w:t>。</w:t>
      </w:r>
    </w:p>
    <w:p>
      <w:pPr>
        <w:tabs>
          <w:tab w:val="left" w:pos="728"/>
        </w:tabs>
        <w:ind w:firstLine="480" w:firstLineChars="200"/>
        <w:rPr>
          <w:rFonts w:ascii="楷体" w:hAnsi="楷体" w:eastAsia="楷体" w:cs="Calibri"/>
          <w:sz w:val="24"/>
          <w:szCs w:val="24"/>
        </w:rPr>
      </w:pPr>
      <w:r>
        <w:rPr>
          <w:rFonts w:hint="eastAsia" w:ascii="楷体" w:hAnsi="楷体" w:eastAsia="楷体" w:cs="Calibri"/>
          <w:sz w:val="24"/>
          <w:szCs w:val="24"/>
        </w:rPr>
        <w:t>2.管理人全部公募产品持有单只证券或单只公募证券投资基金的市值，不得超过该证券市值或该公募证券投资基金市值的</w:t>
      </w:r>
      <w:r>
        <w:rPr>
          <w:rFonts w:ascii="楷体" w:hAnsi="楷体" w:eastAsia="楷体" w:cs="Calibri"/>
          <w:sz w:val="24"/>
          <w:szCs w:val="24"/>
        </w:rPr>
        <w:t>30%</w:t>
      </w:r>
      <w:r>
        <w:rPr>
          <w:rFonts w:hint="eastAsia" w:ascii="楷体" w:hAnsi="楷体" w:eastAsia="楷体" w:cs="Calibri"/>
          <w:sz w:val="24"/>
          <w:szCs w:val="24"/>
        </w:rPr>
        <w:t>。</w:t>
      </w:r>
    </w:p>
    <w:p>
      <w:p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rPr>
        <w:t>3.管理人全部产品持有单一上市公司发行的股票，不得超过该上市公司可流通股票的</w:t>
      </w:r>
      <w:r>
        <w:rPr>
          <w:rFonts w:ascii="楷体" w:hAnsi="楷体" w:eastAsia="楷体" w:cs="Calibri"/>
          <w:sz w:val="24"/>
          <w:szCs w:val="24"/>
        </w:rPr>
        <w:t>30%</w:t>
      </w:r>
      <w:r>
        <w:rPr>
          <w:rFonts w:hint="eastAsia" w:ascii="楷体" w:hAnsi="楷体" w:eastAsia="楷体" w:cs="Calibri"/>
          <w:sz w:val="24"/>
          <w:szCs w:val="24"/>
        </w:rPr>
        <w:t>。</w:t>
      </w:r>
    </w:p>
    <w:p>
      <w:pPr>
        <w:ind w:firstLine="480" w:firstLineChars="200"/>
        <w:rPr>
          <w:rFonts w:hint="eastAsia" w:ascii="楷体" w:hAnsi="楷体" w:eastAsia="楷体"/>
          <w:sz w:val="24"/>
          <w:szCs w:val="24"/>
        </w:rPr>
      </w:pPr>
      <w:r>
        <w:rPr>
          <w:rFonts w:hint="eastAsia" w:ascii="楷体" w:hAnsi="楷体" w:eastAsia="楷体"/>
          <w:sz w:val="24"/>
          <w:szCs w:val="24"/>
        </w:rPr>
        <w:t>金融监督管理部门另有规定的除外。</w:t>
      </w:r>
    </w:p>
    <w:p>
      <w:pPr>
        <w:ind w:firstLine="480" w:firstLineChars="200"/>
        <w:rPr>
          <w:rFonts w:hint="eastAsia" w:ascii="楷体" w:hAnsi="楷体" w:eastAsia="楷体"/>
          <w:sz w:val="24"/>
          <w:szCs w:val="24"/>
        </w:rPr>
      </w:pPr>
      <w:r>
        <w:rPr>
          <w:rFonts w:hint="eastAsia" w:ascii="楷体" w:hAnsi="楷体" w:eastAsia="楷体"/>
          <w:sz w:val="24"/>
          <w:szCs w:val="24"/>
        </w:rPr>
        <w:t>非因管理人主观因素导致突破上述比例限制的，产品管理人在流动性受限资产可出售、可转让或者恢复交易的</w:t>
      </w:r>
      <w:r>
        <w:rPr>
          <w:rFonts w:ascii="楷体" w:hAnsi="楷体" w:eastAsia="楷体"/>
          <w:sz w:val="24"/>
          <w:szCs w:val="24"/>
        </w:rPr>
        <w:t>1</w:t>
      </w:r>
      <w:r>
        <w:rPr>
          <w:rFonts w:hint="eastAsia" w:ascii="楷体" w:hAnsi="楷体" w:eastAsia="楷体"/>
          <w:sz w:val="24"/>
          <w:szCs w:val="24"/>
        </w:rPr>
        <w:t>0个交易日内调整至符合要求。</w:t>
      </w:r>
    </w:p>
    <w:p>
      <w:pPr>
        <w:numPr>
          <w:ilvl w:val="0"/>
          <w:numId w:val="11"/>
        </w:numPr>
        <w:tabs>
          <w:tab w:val="left" w:pos="993"/>
        </w:tabs>
        <w:ind w:left="0" w:firstLine="482" w:firstLineChars="200"/>
        <w:rPr>
          <w:rFonts w:hint="eastAsia" w:ascii="楷体" w:hAnsi="楷体" w:eastAsia="楷体" w:cs="Calibri"/>
          <w:b/>
          <w:bCs/>
          <w:sz w:val="24"/>
          <w:szCs w:val="24"/>
        </w:rPr>
      </w:pPr>
      <w:r>
        <w:rPr>
          <w:rFonts w:hint="eastAsia" w:ascii="楷体" w:hAnsi="楷体" w:eastAsia="楷体" w:cs="Calibri"/>
          <w:b/>
          <w:bCs/>
          <w:sz w:val="24"/>
          <w:szCs w:val="24"/>
        </w:rPr>
        <w:t>杠杆水平限制</w:t>
      </w:r>
    </w:p>
    <w:p>
      <w:pPr>
        <w:ind w:firstLine="480" w:firstLineChars="200"/>
        <w:rPr>
          <w:rFonts w:hint="eastAsia" w:ascii="楷体" w:hAnsi="楷体" w:eastAsia="楷体"/>
          <w:sz w:val="24"/>
          <w:szCs w:val="24"/>
        </w:rPr>
      </w:pPr>
      <w:r>
        <w:rPr>
          <w:rFonts w:hint="eastAsia" w:ascii="楷体" w:hAnsi="楷体" w:eastAsia="楷体"/>
          <w:sz w:val="24"/>
          <w:szCs w:val="24"/>
        </w:rPr>
        <w:t>本理财产品资产总值/理财产品资产净值不超过</w:t>
      </w:r>
      <w:r>
        <w:rPr>
          <w:rFonts w:hint="eastAsia" w:ascii="楷体" w:hAnsi="楷体" w:eastAsia="楷体"/>
          <w:sz w:val="24"/>
          <w:szCs w:val="24"/>
          <w:lang w:val="en-US" w:eastAsia="zh-CN"/>
        </w:rPr>
        <w:t>140</w:t>
      </w:r>
      <w:r>
        <w:rPr>
          <w:rFonts w:hint="eastAsia" w:ascii="楷体" w:hAnsi="楷体" w:eastAsia="楷体"/>
          <w:sz w:val="24"/>
          <w:szCs w:val="24"/>
        </w:rPr>
        <w:t>%（如监管有最新规定的参照监管规定调整）。</w:t>
      </w:r>
    </w:p>
    <w:p>
      <w:pPr>
        <w:numPr>
          <w:ilvl w:val="0"/>
          <w:numId w:val="11"/>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投资范围调整</w:t>
      </w:r>
    </w:p>
    <w:p>
      <w:pPr>
        <w:ind w:firstLine="480" w:firstLineChars="200"/>
        <w:rPr>
          <w:rFonts w:ascii="楷体" w:hAnsi="楷体" w:eastAsia="楷体"/>
          <w:sz w:val="24"/>
          <w:szCs w:val="24"/>
        </w:rPr>
      </w:pPr>
      <w:r>
        <w:rPr>
          <w:rFonts w:hint="eastAsia" w:ascii="楷体" w:hAnsi="楷体" w:eastAsia="楷体"/>
          <w:sz w:val="24"/>
          <w:szCs w:val="24"/>
        </w:rPr>
        <w:t>若法律法规、国家监管政策或市场情况发生变化，苏银理财在不改变产品类型的情况下，可对本说明书中已约定的投资范围、投资品种、投资比例以及收费项目、条件、标准和方式进行调整。产品管理人将于调整事项生效前2个工作日通过短信及苏银理财有限责任公司官方网站（www.suyinwealth.com）、销售机构电子渠道和营业网点等方式进行信息披露。此种情况下产品管理人可能开放赎回，具体以届时产品管理人公告为准。若本理财产品的投资者不接受上述调整，可及时通过销售机构赎回本产品（高风险类型的理财产品超出比例范围投资较低风险资产的情况除外）；若本理财产品投资者未在约定的时间内赎回本产品，则视为本理财产品投资者接受相关调整且同意继续持有本理财产品。</w:t>
      </w:r>
    </w:p>
    <w:p>
      <w:pPr>
        <w:numPr>
          <w:ilvl w:val="0"/>
          <w:numId w:val="3"/>
        </w:numPr>
        <w:tabs>
          <w:tab w:val="left" w:pos="1134"/>
        </w:tabs>
        <w:ind w:firstLine="562" w:firstLineChars="200"/>
        <w:outlineLvl w:val="1"/>
        <w:rPr>
          <w:rFonts w:ascii="楷体" w:hAnsi="楷体" w:eastAsia="楷体"/>
          <w:b/>
          <w:sz w:val="28"/>
          <w:szCs w:val="28"/>
        </w:rPr>
      </w:pPr>
      <w:r>
        <w:rPr>
          <w:rFonts w:hint="eastAsia" w:ascii="楷体" w:hAnsi="楷体" w:eastAsia="楷体"/>
          <w:b/>
          <w:sz w:val="28"/>
          <w:szCs w:val="28"/>
        </w:rPr>
        <w:t>产品认购</w:t>
      </w:r>
    </w:p>
    <w:p>
      <w:pPr>
        <w:numPr>
          <w:ilvl w:val="0"/>
          <w:numId w:val="12"/>
        </w:numPr>
        <w:tabs>
          <w:tab w:val="left" w:pos="993"/>
        </w:tabs>
        <w:ind w:left="0" w:firstLine="480" w:firstLineChars="200"/>
        <w:rPr>
          <w:rFonts w:hint="eastAsia" w:ascii="楷体" w:hAnsi="楷体" w:eastAsia="楷体" w:cs="Calibri"/>
          <w:sz w:val="24"/>
          <w:szCs w:val="24"/>
          <w:lang w:eastAsia="zh-CN"/>
        </w:rPr>
      </w:pPr>
      <w:r>
        <w:rPr>
          <w:rFonts w:hint="eastAsia" w:ascii="楷体" w:hAnsi="楷体" w:eastAsia="楷体" w:cs="Calibri"/>
          <w:sz w:val="24"/>
          <w:szCs w:val="24"/>
        </w:rPr>
        <w:t>认购期间：2018年8月29日9:00到2018年9月3日17:00</w:t>
      </w:r>
      <w:r>
        <w:rPr>
          <w:rFonts w:hint="eastAsia" w:ascii="楷体" w:hAnsi="楷体" w:eastAsia="楷体" w:cs="Calibri"/>
          <w:sz w:val="24"/>
          <w:szCs w:val="24"/>
          <w:lang w:eastAsia="zh-CN"/>
        </w:rPr>
        <w:t>。</w:t>
      </w:r>
      <w:r>
        <w:rPr>
          <w:rFonts w:hint="eastAsia" w:ascii="楷体" w:hAnsi="楷体" w:eastAsia="楷体"/>
          <w:sz w:val="24"/>
          <w:szCs w:val="24"/>
        </w:rPr>
        <w:t>（以各销售机构设置的认购时间为准）</w:t>
      </w:r>
    </w:p>
    <w:p>
      <w:pPr>
        <w:numPr>
          <w:ilvl w:val="0"/>
          <w:numId w:val="12"/>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认购方式：本理财产品可在各销售机构指定渠道进行认购。</w:t>
      </w:r>
    </w:p>
    <w:p>
      <w:pPr>
        <w:numPr>
          <w:ilvl w:val="0"/>
          <w:numId w:val="12"/>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销售机构受理认购申请并不代表该申请成功确认，仅代表其收到了认购申请，申请是否成功以管理人最终确认为准。具体而言，投资者按规定提交认购申请、全额交付款项并经销售机构成功冻结或预扣的，认购申请成立，管理人在认购份额登记日对投资者的认购申请成功登记后，视为投资者的认购申请生效。投资者应在理财产品成立后及时查询最终的成交情况以及认购的份额。</w:t>
      </w:r>
    </w:p>
    <w:p>
      <w:pPr>
        <w:numPr>
          <w:ilvl w:val="0"/>
          <w:numId w:val="12"/>
        </w:numPr>
        <w:tabs>
          <w:tab w:val="left" w:pos="993"/>
        </w:tabs>
        <w:ind w:left="0" w:firstLine="480" w:firstLineChars="200"/>
        <w:rPr>
          <w:rFonts w:ascii="楷体" w:hAnsi="楷体" w:eastAsia="楷体" w:cs="Calibri"/>
          <w:sz w:val="24"/>
          <w:szCs w:val="24"/>
        </w:rPr>
      </w:pPr>
      <w:r>
        <w:rPr>
          <w:rFonts w:hint="eastAsia" w:ascii="楷体" w:hAnsi="楷体" w:eastAsia="楷体" w:cs="Calibri"/>
          <w:sz w:val="24"/>
          <w:szCs w:val="24"/>
        </w:rPr>
        <w:t>本理财产品采取金额认购，投资者单笔认申购起点金额及追加金额如下表：</w:t>
      </w:r>
    </w:p>
    <w:tbl>
      <w:tblPr>
        <w:tblStyle w:val="14"/>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8"/>
        <w:gridCol w:w="1701"/>
        <w:gridCol w:w="1745"/>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销售简称</w:t>
            </w:r>
          </w:p>
        </w:tc>
        <w:tc>
          <w:tcPr>
            <w:tcW w:w="1701"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销售代码</w:t>
            </w:r>
          </w:p>
        </w:tc>
        <w:tc>
          <w:tcPr>
            <w:tcW w:w="1745" w:type="dxa"/>
            <w:noWrap w:val="0"/>
            <w:vAlign w:val="center"/>
          </w:tcPr>
          <w:p>
            <w:pPr>
              <w:tabs>
                <w:tab w:val="left" w:pos="993"/>
              </w:tabs>
              <w:jc w:val="center"/>
              <w:rPr>
                <w:rFonts w:ascii="楷体" w:hAnsi="楷体" w:eastAsia="楷体" w:cs="Calibri"/>
                <w:szCs w:val="21"/>
              </w:rPr>
            </w:pPr>
            <w:r>
              <w:rPr>
                <w:rFonts w:hint="eastAsia" w:ascii="楷体" w:hAnsi="楷体" w:eastAsia="楷体" w:cs="Calibri"/>
                <w:szCs w:val="21"/>
              </w:rPr>
              <w:t>认申购</w:t>
            </w:r>
          </w:p>
          <w:p>
            <w:pPr>
              <w:tabs>
                <w:tab w:val="left" w:pos="993"/>
              </w:tabs>
              <w:jc w:val="center"/>
              <w:rPr>
                <w:rFonts w:hint="eastAsia" w:ascii="楷体" w:hAnsi="楷体" w:eastAsia="楷体" w:cs="Calibri"/>
                <w:szCs w:val="21"/>
              </w:rPr>
            </w:pPr>
            <w:r>
              <w:rPr>
                <w:rFonts w:hint="eastAsia" w:ascii="楷体" w:hAnsi="楷体" w:eastAsia="楷体" w:cs="Calibri"/>
                <w:szCs w:val="21"/>
              </w:rPr>
              <w:t>起点金额</w:t>
            </w:r>
          </w:p>
        </w:tc>
        <w:tc>
          <w:tcPr>
            <w:tcW w:w="1988"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追加金额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lang w:eastAsia="zh-CN"/>
              </w:rPr>
            </w:pP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eastAsia="zh-CN"/>
              </w:rPr>
              <w:t>（</w:t>
            </w:r>
            <w:r>
              <w:rPr>
                <w:rFonts w:hint="eastAsia" w:ascii="楷体" w:hAnsi="楷体" w:eastAsia="楷体" w:cs="宋体"/>
                <w:spacing w:val="-2"/>
                <w:sz w:val="21"/>
                <w:szCs w:val="21"/>
              </w:rPr>
              <w:t>芙蓉锦程·优选</w:t>
            </w:r>
            <w:r>
              <w:rPr>
                <w:rFonts w:hint="eastAsia" w:ascii="楷体" w:hAnsi="楷体" w:eastAsia="楷体" w:cs="宋体"/>
                <w:spacing w:val="-2"/>
                <w:sz w:val="21"/>
                <w:szCs w:val="21"/>
                <w:lang w:eastAsia="zh-CN"/>
              </w:rPr>
              <w:t>）</w:t>
            </w:r>
          </w:p>
        </w:tc>
        <w:tc>
          <w:tcPr>
            <w:tcW w:w="1701"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kern w:val="2"/>
                <w:sz w:val="21"/>
                <w:szCs w:val="21"/>
                <w:lang w:val="en-US" w:eastAsia="zh-CN" w:bidi="ar-SA"/>
              </w:rPr>
              <w:t>J03612</w:t>
            </w:r>
          </w:p>
        </w:tc>
        <w:tc>
          <w:tcPr>
            <w:tcW w:w="1745"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rPr>
            </w:pP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Z</w:t>
            </w:r>
          </w:p>
        </w:tc>
        <w:tc>
          <w:tcPr>
            <w:tcW w:w="1701"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kern w:val="2"/>
                <w:sz w:val="21"/>
                <w:szCs w:val="21"/>
                <w:lang w:val="en-US" w:eastAsia="zh-CN" w:bidi="ar-SA"/>
              </w:rPr>
              <w:t>J03613</w:t>
            </w:r>
          </w:p>
        </w:tc>
        <w:tc>
          <w:tcPr>
            <w:tcW w:w="1745"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szCs w:val="21"/>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rPr>
            </w:pP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Q</w:t>
            </w:r>
          </w:p>
        </w:tc>
        <w:tc>
          <w:tcPr>
            <w:tcW w:w="1701"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kern w:val="2"/>
                <w:sz w:val="21"/>
                <w:szCs w:val="21"/>
                <w:lang w:val="en-US" w:eastAsia="zh-CN" w:bidi="ar-SA"/>
              </w:rPr>
              <w:t>J03614</w:t>
            </w:r>
          </w:p>
        </w:tc>
        <w:tc>
          <w:tcPr>
            <w:tcW w:w="1745"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szCs w:val="21"/>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rPr>
            </w:pPr>
            <w:r>
              <w:rPr>
                <w:rFonts w:hint="eastAsia" w:ascii="楷体" w:hAnsi="楷体" w:eastAsia="楷体" w:cs="宋体"/>
                <w:spacing w:val="-2"/>
                <w:sz w:val="21"/>
                <w:szCs w:val="21"/>
              </w:rPr>
              <w:t>苏银理财恒源融达1号6月JS鑫福款</w:t>
            </w:r>
          </w:p>
        </w:tc>
        <w:tc>
          <w:tcPr>
            <w:tcW w:w="1701"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kern w:val="2"/>
                <w:sz w:val="21"/>
                <w:szCs w:val="21"/>
                <w:lang w:val="en-US" w:eastAsia="zh-CN" w:bidi="ar-SA"/>
              </w:rPr>
              <w:t>J03807</w:t>
            </w:r>
          </w:p>
        </w:tc>
        <w:tc>
          <w:tcPr>
            <w:tcW w:w="1745"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kern w:val="2"/>
                <w:sz w:val="21"/>
                <w:szCs w:val="21"/>
                <w:lang w:val="en-US" w:eastAsia="zh-CN" w:bidi="ar-SA"/>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rPr>
            </w:pPr>
            <w:r>
              <w:rPr>
                <w:rFonts w:hint="eastAsia" w:ascii="楷体" w:hAnsi="楷体" w:eastAsia="楷体" w:cs="宋体"/>
                <w:spacing w:val="-2"/>
                <w:sz w:val="21"/>
                <w:szCs w:val="21"/>
                <w:lang w:val="en-US" w:eastAsia="zh-CN"/>
              </w:rPr>
              <w:t>苏银理财恒源融达1号6月（芙蓉锦程·优选-尊享款）</w:t>
            </w:r>
          </w:p>
        </w:tc>
        <w:tc>
          <w:tcPr>
            <w:tcW w:w="1701"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J04954</w:t>
            </w:r>
          </w:p>
        </w:tc>
        <w:tc>
          <w:tcPr>
            <w:tcW w:w="1745" w:type="dxa"/>
            <w:noWrap w:val="0"/>
            <w:vAlign w:val="center"/>
          </w:tcPr>
          <w:p>
            <w:pPr>
              <w:tabs>
                <w:tab w:val="left" w:pos="993"/>
              </w:tabs>
              <w:jc w:val="center"/>
              <w:rPr>
                <w:rFonts w:hint="eastAsia" w:ascii="楷体" w:hAnsi="楷体" w:eastAsia="楷体" w:cs="Calibri"/>
                <w:szCs w:val="21"/>
              </w:rPr>
            </w:pP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szCs w:val="21"/>
              </w:rPr>
            </w:pP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苏银理财恒源融达1号6月（北部湾银行专属）</w:t>
            </w:r>
          </w:p>
        </w:tc>
        <w:tc>
          <w:tcPr>
            <w:tcW w:w="1701"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J07237</w:t>
            </w:r>
          </w:p>
        </w:tc>
        <w:tc>
          <w:tcPr>
            <w:tcW w:w="1745"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szCs w:val="21"/>
                <w:lang w:val="en-US" w:eastAsia="zh-CN"/>
              </w:rPr>
              <w:t>0.0</w:t>
            </w:r>
            <w:r>
              <w:rPr>
                <w:rFonts w:hint="eastAsia" w:ascii="楷体" w:hAnsi="楷体" w:eastAsia="楷体" w:cs="Calibri"/>
                <w:szCs w:val="21"/>
              </w:rPr>
              <w:t>1元</w:t>
            </w:r>
          </w:p>
        </w:tc>
        <w:tc>
          <w:tcPr>
            <w:tcW w:w="1988" w:type="dxa"/>
            <w:noWrap w:val="0"/>
            <w:vAlign w:val="center"/>
          </w:tcPr>
          <w:p>
            <w:pPr>
              <w:tabs>
                <w:tab w:val="left" w:pos="993"/>
              </w:tabs>
              <w:jc w:val="center"/>
              <w:rPr>
                <w:rFonts w:hint="eastAsia" w:ascii="楷体" w:hAnsi="楷体" w:eastAsia="楷体" w:cs="宋体"/>
                <w:spacing w:val="-2"/>
                <w:kern w:val="2"/>
                <w:sz w:val="21"/>
                <w:szCs w:val="21"/>
                <w:lang w:val="en-US" w:eastAsia="zh-CN" w:bidi="ar-SA"/>
              </w:rPr>
            </w:pPr>
            <w:r>
              <w:rPr>
                <w:rFonts w:hint="eastAsia" w:ascii="楷体" w:hAnsi="楷体" w:eastAsia="楷体" w:cs="宋体"/>
                <w:spacing w:val="-2"/>
                <w:szCs w:val="21"/>
                <w:lang w:val="en-US" w:eastAsia="zh-CN"/>
              </w:rPr>
              <w:t>0.0</w:t>
            </w:r>
            <w:r>
              <w:rPr>
                <w:rFonts w:hint="eastAsia" w:ascii="楷体" w:hAnsi="楷体" w:eastAsia="楷体" w:cs="宋体"/>
                <w:spacing w:val="-2"/>
                <w:szCs w:val="21"/>
              </w:rPr>
              <w:t>1元的整数倍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8"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rPr>
              <w:t>苏银理财</w:t>
            </w:r>
            <w:r>
              <w:rPr>
                <w:rFonts w:hint="eastAsia" w:ascii="楷体" w:hAnsi="楷体" w:eastAsia="楷体" w:cs="宋体"/>
                <w:spacing w:val="-2"/>
                <w:sz w:val="21"/>
                <w:szCs w:val="21"/>
                <w:lang w:val="en-US" w:eastAsia="zh-CN"/>
              </w:rPr>
              <w:t>恒源</w:t>
            </w:r>
            <w:r>
              <w:rPr>
                <w:rFonts w:hint="eastAsia" w:ascii="楷体" w:hAnsi="楷体" w:eastAsia="楷体" w:cs="宋体"/>
                <w:spacing w:val="-2"/>
                <w:sz w:val="21"/>
                <w:szCs w:val="21"/>
              </w:rPr>
              <w:t>融达1号6月</w:t>
            </w:r>
            <w:r>
              <w:rPr>
                <w:rFonts w:hint="eastAsia" w:ascii="楷体" w:hAnsi="楷体" w:eastAsia="楷体" w:cs="宋体"/>
                <w:spacing w:val="-2"/>
                <w:sz w:val="21"/>
                <w:szCs w:val="21"/>
                <w:lang w:val="en-US" w:eastAsia="zh-CN"/>
              </w:rPr>
              <w:t>P</w:t>
            </w:r>
          </w:p>
        </w:tc>
        <w:tc>
          <w:tcPr>
            <w:tcW w:w="1701" w:type="dxa"/>
            <w:noWrap w:val="0"/>
            <w:vAlign w:val="center"/>
          </w:tcPr>
          <w:p>
            <w:pPr>
              <w:jc w:val="center"/>
              <w:rPr>
                <w:rFonts w:hint="eastAsia" w:ascii="楷体" w:hAnsi="楷体" w:eastAsia="楷体" w:cs="宋体"/>
                <w:spacing w:val="-2"/>
                <w:sz w:val="21"/>
                <w:szCs w:val="21"/>
                <w:lang w:val="en-US" w:eastAsia="zh-CN"/>
              </w:rPr>
            </w:pPr>
            <w:r>
              <w:rPr>
                <w:rFonts w:hint="eastAsia" w:ascii="楷体" w:hAnsi="楷体" w:eastAsia="楷体" w:cs="宋体"/>
                <w:spacing w:val="-2"/>
                <w:sz w:val="21"/>
                <w:szCs w:val="21"/>
                <w:lang w:val="en-US" w:eastAsia="zh-CN"/>
              </w:rPr>
              <w:t>J07303</w:t>
            </w:r>
          </w:p>
        </w:tc>
        <w:tc>
          <w:tcPr>
            <w:tcW w:w="1745" w:type="dxa"/>
            <w:noWrap w:val="0"/>
            <w:vAlign w:val="center"/>
          </w:tcPr>
          <w:p>
            <w:pPr>
              <w:tabs>
                <w:tab w:val="left" w:pos="993"/>
              </w:tabs>
              <w:jc w:val="center"/>
              <w:rPr>
                <w:rFonts w:hint="eastAsia" w:ascii="楷体" w:hAnsi="楷体" w:eastAsia="楷体" w:cs="Calibri"/>
                <w:kern w:val="2"/>
                <w:sz w:val="21"/>
                <w:szCs w:val="21"/>
                <w:lang w:val="en-US" w:eastAsia="zh-CN" w:bidi="ar-SA"/>
              </w:rPr>
            </w:pPr>
            <w:r>
              <w:rPr>
                <w:rFonts w:hint="eastAsia" w:ascii="楷体" w:hAnsi="楷体" w:eastAsia="楷体" w:cs="Calibri"/>
                <w:szCs w:val="21"/>
                <w:lang w:val="en-US" w:eastAsia="zh-CN"/>
              </w:rPr>
              <w:t>20万元</w:t>
            </w:r>
          </w:p>
        </w:tc>
        <w:tc>
          <w:tcPr>
            <w:tcW w:w="1988" w:type="dxa"/>
            <w:noWrap w:val="0"/>
            <w:vAlign w:val="center"/>
          </w:tcPr>
          <w:p>
            <w:pPr>
              <w:tabs>
                <w:tab w:val="left" w:pos="993"/>
              </w:tabs>
              <w:jc w:val="center"/>
              <w:rPr>
                <w:rFonts w:hint="eastAsia" w:ascii="楷体" w:hAnsi="楷体" w:eastAsia="楷体" w:cs="宋体"/>
                <w:spacing w:val="-2"/>
                <w:kern w:val="2"/>
                <w:sz w:val="21"/>
                <w:szCs w:val="21"/>
                <w:lang w:val="en-US" w:eastAsia="zh-CN" w:bidi="ar-SA"/>
              </w:rPr>
            </w:pPr>
            <w:r>
              <w:rPr>
                <w:rFonts w:hint="eastAsia" w:ascii="楷体" w:hAnsi="楷体" w:eastAsia="楷体" w:cs="宋体"/>
                <w:spacing w:val="-2"/>
                <w:szCs w:val="21"/>
              </w:rPr>
              <w:t>1万元的整数倍</w:t>
            </w:r>
          </w:p>
        </w:tc>
      </w:tr>
    </w:tbl>
    <w:p>
      <w:pPr>
        <w:numPr>
          <w:ilvl w:val="0"/>
          <w:numId w:val="12"/>
        </w:numPr>
        <w:tabs>
          <w:tab w:val="left" w:pos="993"/>
        </w:tabs>
        <w:ind w:left="0" w:firstLine="480" w:firstLineChars="200"/>
        <w:rPr>
          <w:rFonts w:ascii="楷体" w:hAnsi="楷体" w:eastAsia="楷体" w:cs="Calibri"/>
          <w:sz w:val="24"/>
          <w:szCs w:val="24"/>
        </w:rPr>
      </w:pPr>
      <w:r>
        <w:rPr>
          <w:rFonts w:hint="eastAsia" w:ascii="楷体" w:hAnsi="楷体" w:eastAsia="楷体" w:cs="Calibri"/>
          <w:sz w:val="24"/>
          <w:szCs w:val="24"/>
        </w:rPr>
        <w:t>单一投资者单个工作日认购</w:t>
      </w:r>
      <w:r>
        <w:rPr>
          <w:rFonts w:hint="eastAsia" w:ascii="楷体" w:hAnsi="楷体" w:eastAsia="楷体" w:cs="Calibri"/>
          <w:sz w:val="24"/>
          <w:szCs w:val="24"/>
          <w:lang w:val="en-US" w:eastAsia="zh-CN"/>
        </w:rPr>
        <w:t>/申购</w:t>
      </w:r>
      <w:r>
        <w:rPr>
          <w:rFonts w:hint="eastAsia" w:ascii="楷体" w:hAnsi="楷体" w:eastAsia="楷体" w:cs="Calibri"/>
          <w:sz w:val="24"/>
          <w:szCs w:val="24"/>
        </w:rPr>
        <w:t>上限：</w:t>
      </w:r>
    </w:p>
    <w:p>
      <w:pPr>
        <w:tabs>
          <w:tab w:val="left" w:pos="993"/>
        </w:tabs>
        <w:ind w:left="420" w:leftChars="200"/>
        <w:rPr>
          <w:rFonts w:hint="eastAsia" w:ascii="楷体" w:hAnsi="楷体" w:eastAsia="楷体" w:cs="Calibri"/>
          <w:sz w:val="24"/>
          <w:szCs w:val="24"/>
        </w:rPr>
      </w:pPr>
      <w:r>
        <w:rPr>
          <w:rFonts w:hint="eastAsia" w:ascii="楷体" w:hAnsi="楷体" w:eastAsia="楷体" w:cs="Calibri"/>
          <w:sz w:val="24"/>
          <w:szCs w:val="24"/>
        </w:rPr>
        <w:t>暂无。</w:t>
      </w:r>
    </w:p>
    <w:p>
      <w:pPr>
        <w:numPr>
          <w:ilvl w:val="0"/>
          <w:numId w:val="12"/>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认购资金的清算</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sz w:val="24"/>
          <w:szCs w:val="24"/>
          <w:highlight w:val="none"/>
        </w:rPr>
        <w:t>投资者提出认购申请时，须备足购买资金。如投资者通过代销渠道购买，管理人在份额确认日通知销售机构扣划投资者认购资金，投资者应在扣款前保证资金账户中拥有足够可用余额</w:t>
      </w:r>
      <w:r>
        <w:rPr>
          <w:rFonts w:hint="eastAsia" w:ascii="楷体" w:hAnsi="楷体" w:eastAsia="楷体"/>
          <w:sz w:val="24"/>
          <w:szCs w:val="24"/>
          <w:highlight w:val="none"/>
          <w:lang w:eastAsia="zh-CN"/>
        </w:rPr>
        <w:t>；</w:t>
      </w:r>
      <w:r>
        <w:rPr>
          <w:rFonts w:hint="eastAsia" w:ascii="楷体" w:hAnsi="楷体" w:eastAsia="楷体"/>
          <w:sz w:val="24"/>
          <w:szCs w:val="24"/>
          <w:highlight w:val="none"/>
        </w:rPr>
        <w:t>如投资者通过苏银</w:t>
      </w:r>
      <w:r>
        <w:rPr>
          <w:rFonts w:hint="eastAsia" w:ascii="楷体" w:hAnsi="楷体" w:eastAsia="楷体"/>
          <w:sz w:val="24"/>
          <w:szCs w:val="24"/>
          <w:highlight w:val="none"/>
          <w:lang w:val="en-US" w:eastAsia="zh-CN"/>
        </w:rPr>
        <w:t>理财</w:t>
      </w:r>
      <w:r>
        <w:rPr>
          <w:rFonts w:hint="eastAsia" w:ascii="楷体" w:hAnsi="楷体" w:eastAsia="楷体"/>
          <w:sz w:val="24"/>
          <w:szCs w:val="24"/>
          <w:highlight w:val="none"/>
        </w:rPr>
        <w:t>直营</w:t>
      </w:r>
      <w:r>
        <w:rPr>
          <w:rFonts w:hint="eastAsia" w:ascii="楷体" w:hAnsi="楷体" w:eastAsia="楷体"/>
          <w:sz w:val="24"/>
          <w:szCs w:val="24"/>
          <w:highlight w:val="none"/>
          <w:lang w:val="en-US" w:eastAsia="zh-CN"/>
        </w:rPr>
        <w:t>渠道</w:t>
      </w:r>
      <w:r>
        <w:rPr>
          <w:rFonts w:hint="eastAsia" w:ascii="楷体" w:hAnsi="楷体" w:eastAsia="楷体"/>
          <w:sz w:val="24"/>
          <w:szCs w:val="24"/>
          <w:highlight w:val="none"/>
        </w:rPr>
        <w:t>购买</w:t>
      </w:r>
      <w:r>
        <w:rPr>
          <w:rFonts w:hint="eastAsia" w:ascii="楷体" w:hAnsi="楷体" w:eastAsia="楷体"/>
          <w:sz w:val="24"/>
          <w:szCs w:val="24"/>
          <w:highlight w:val="none"/>
          <w:lang w:eastAsia="zh-CN"/>
        </w:rPr>
        <w:t>，</w:t>
      </w:r>
      <w:r>
        <w:rPr>
          <w:rFonts w:hint="eastAsia" w:ascii="楷体" w:hAnsi="楷体" w:eastAsia="楷体"/>
          <w:sz w:val="24"/>
          <w:szCs w:val="24"/>
          <w:highlight w:val="none"/>
        </w:rPr>
        <w:t>资金清算以《理财产品销售协议书》约定为准。因投资者资金账户余额不足、司法冻结、不可抗力因素或其他不可归责于苏银理财和销售机构的事由出现，造成扣款失败，认购申请未被确认的，苏银理财和销售机构不承担任何责任。</w:t>
      </w:r>
    </w:p>
    <w:p>
      <w:pPr>
        <w:numPr>
          <w:ilvl w:val="0"/>
          <w:numId w:val="12"/>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认购份额登记日：</w:t>
      </w:r>
      <w:r>
        <w:rPr>
          <w:rFonts w:hint="eastAsia" w:ascii="楷体" w:hAnsi="楷体" w:eastAsia="楷体" w:cs="Calibri"/>
          <w:sz w:val="24"/>
          <w:szCs w:val="24"/>
          <w:highlight w:val="none"/>
        </w:rPr>
        <w:t>产品份额于2018年9月4日进行份额登记。</w:t>
      </w:r>
    </w:p>
    <w:p>
      <w:pPr>
        <w:numPr>
          <w:ilvl w:val="0"/>
          <w:numId w:val="12"/>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认购份额的计算</w:t>
      </w:r>
    </w:p>
    <w:p>
      <w:pPr>
        <w:ind w:firstLine="480" w:firstLineChars="200"/>
        <w:rPr>
          <w:rFonts w:hint="eastAsia" w:ascii="楷体" w:hAnsi="楷体" w:eastAsia="楷体"/>
          <w:sz w:val="24"/>
          <w:szCs w:val="24"/>
        </w:rPr>
      </w:pPr>
      <w:r>
        <w:rPr>
          <w:rFonts w:ascii="楷体" w:hAnsi="楷体" w:eastAsia="楷体"/>
          <w:sz w:val="24"/>
          <w:szCs w:val="24"/>
        </w:rPr>
        <w:t>认购份额=</w:t>
      </w:r>
      <w:r>
        <w:rPr>
          <w:rFonts w:hint="eastAsia" w:ascii="楷体" w:hAnsi="楷体" w:eastAsia="楷体"/>
          <w:sz w:val="24"/>
          <w:szCs w:val="24"/>
        </w:rPr>
        <w:t>认购金额</w:t>
      </w:r>
      <w:r>
        <w:rPr>
          <w:rFonts w:ascii="楷体" w:hAnsi="楷体" w:eastAsia="楷体"/>
          <w:sz w:val="24"/>
          <w:szCs w:val="24"/>
        </w:rPr>
        <w:t>/</w:t>
      </w:r>
      <w:r>
        <w:rPr>
          <w:rFonts w:hint="eastAsia" w:ascii="楷体" w:hAnsi="楷体" w:eastAsia="楷体"/>
          <w:sz w:val="24"/>
          <w:szCs w:val="24"/>
        </w:rPr>
        <w:t>产品成立时单位净值</w:t>
      </w:r>
    </w:p>
    <w:p>
      <w:pPr>
        <w:ind w:firstLine="480" w:firstLineChars="200"/>
        <w:rPr>
          <w:rFonts w:hint="eastAsia" w:ascii="楷体" w:hAnsi="楷体" w:eastAsia="楷体"/>
          <w:sz w:val="24"/>
          <w:szCs w:val="24"/>
        </w:rPr>
      </w:pPr>
      <w:r>
        <w:rPr>
          <w:rFonts w:hint="eastAsia" w:ascii="楷体" w:hAnsi="楷体" w:eastAsia="楷体"/>
          <w:sz w:val="24"/>
          <w:szCs w:val="24"/>
        </w:rPr>
        <w:t>产品成立时单位净值为1元/份，</w:t>
      </w:r>
      <w:r>
        <w:rPr>
          <w:rFonts w:ascii="楷体" w:hAnsi="楷体" w:eastAsia="楷体"/>
          <w:sz w:val="24"/>
          <w:szCs w:val="24"/>
        </w:rPr>
        <w:t>认购份额</w:t>
      </w:r>
      <w:r>
        <w:rPr>
          <w:rFonts w:hint="eastAsia" w:ascii="楷体" w:hAnsi="楷体" w:eastAsia="楷体"/>
          <w:sz w:val="24"/>
          <w:szCs w:val="24"/>
        </w:rPr>
        <w:t>以四舍五入的方法保留到小数点后两位。</w:t>
      </w:r>
    </w:p>
    <w:p>
      <w:pPr>
        <w:numPr>
          <w:ilvl w:val="0"/>
          <w:numId w:val="3"/>
        </w:numPr>
        <w:tabs>
          <w:tab w:val="left" w:pos="1134"/>
        </w:tabs>
        <w:ind w:firstLine="482" w:firstLineChars="200"/>
        <w:outlineLvl w:val="1"/>
        <w:rPr>
          <w:rFonts w:hint="eastAsia" w:ascii="楷体" w:hAnsi="楷体" w:eastAsia="楷体"/>
          <w:b/>
          <w:sz w:val="28"/>
          <w:szCs w:val="28"/>
        </w:rPr>
      </w:pPr>
      <w:r>
        <w:rPr>
          <w:rFonts w:hint="eastAsia" w:ascii="楷体" w:hAnsi="楷体" w:eastAsia="楷体" w:cs="Calibri"/>
          <w:b/>
          <w:sz w:val="24"/>
          <w:szCs w:val="24"/>
        </w:rPr>
        <w:t xml:space="preserve"> </w:t>
      </w:r>
      <w:r>
        <w:rPr>
          <w:rFonts w:hint="eastAsia" w:ascii="楷体" w:hAnsi="楷体" w:eastAsia="楷体"/>
          <w:b/>
          <w:sz w:val="28"/>
          <w:szCs w:val="28"/>
        </w:rPr>
        <w:t>产品估值</w:t>
      </w:r>
    </w:p>
    <w:p>
      <w:pPr>
        <w:numPr>
          <w:ilvl w:val="0"/>
          <w:numId w:val="13"/>
        </w:numPr>
        <w:tabs>
          <w:tab w:val="left" w:pos="993"/>
        </w:tabs>
        <w:ind w:left="0" w:firstLine="482" w:firstLineChars="200"/>
        <w:rPr>
          <w:rFonts w:hint="eastAsia" w:ascii="楷体" w:hAnsi="楷体" w:eastAsia="楷体" w:cs="Calibri"/>
          <w:b/>
          <w:bCs/>
          <w:sz w:val="24"/>
          <w:szCs w:val="24"/>
        </w:rPr>
      </w:pPr>
      <w:r>
        <w:rPr>
          <w:rFonts w:hint="eastAsia" w:ascii="楷体" w:hAnsi="楷体" w:eastAsia="楷体" w:cs="Calibri"/>
          <w:b/>
          <w:bCs/>
          <w:sz w:val="24"/>
          <w:szCs w:val="24"/>
        </w:rPr>
        <w:t>估值对象</w:t>
      </w:r>
    </w:p>
    <w:p>
      <w:pPr>
        <w:ind w:firstLine="480" w:firstLineChars="200"/>
        <w:rPr>
          <w:rFonts w:ascii="楷体" w:hAnsi="楷体" w:eastAsia="楷体"/>
          <w:sz w:val="24"/>
          <w:szCs w:val="24"/>
        </w:rPr>
      </w:pPr>
      <w:r>
        <w:rPr>
          <w:rFonts w:hint="eastAsia" w:ascii="楷体" w:hAnsi="楷体" w:eastAsia="楷体"/>
          <w:sz w:val="24"/>
          <w:szCs w:val="24"/>
        </w:rPr>
        <w:t>本产品所拥有的各类证券、银行存款、应收款项及其它资产及负债。</w:t>
      </w:r>
    </w:p>
    <w:p>
      <w:pPr>
        <w:numPr>
          <w:ilvl w:val="0"/>
          <w:numId w:val="13"/>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估值要求</w:t>
      </w:r>
    </w:p>
    <w:p>
      <w:pPr>
        <w:numPr>
          <w:ilvl w:val="0"/>
          <w:numId w:val="1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本产品资产估值的目的是客观、准确的反映资产净值，确定理财产品资产净值，并为理财产品的</w:t>
      </w:r>
      <w:r>
        <w:rPr>
          <w:rFonts w:hint="eastAsia" w:ascii="楷体" w:hAnsi="楷体" w:eastAsia="楷体" w:cs="Calibri"/>
          <w:sz w:val="24"/>
          <w:szCs w:val="24"/>
          <w:lang w:val="en-US" w:eastAsia="zh-CN"/>
        </w:rPr>
        <w:t>申购、赎回和</w:t>
      </w:r>
      <w:r>
        <w:rPr>
          <w:rFonts w:hint="eastAsia" w:ascii="楷体" w:hAnsi="楷体" w:eastAsia="楷体" w:cs="Calibri"/>
          <w:sz w:val="24"/>
          <w:szCs w:val="24"/>
        </w:rPr>
        <w:t>兑付提供计价依据。</w:t>
      </w:r>
    </w:p>
    <w:p>
      <w:pPr>
        <w:numPr>
          <w:ilvl w:val="0"/>
          <w:numId w:val="1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本产品单位净值精确到小数点后</w:t>
      </w:r>
      <w:r>
        <w:rPr>
          <w:rFonts w:hint="eastAsia" w:ascii="楷体" w:hAnsi="楷体" w:eastAsia="楷体" w:cs="Calibri"/>
          <w:sz w:val="24"/>
          <w:szCs w:val="24"/>
          <w:lang w:val="en-US" w:eastAsia="zh-CN"/>
        </w:rPr>
        <w:t>6</w:t>
      </w:r>
      <w:r>
        <w:rPr>
          <w:rFonts w:hint="eastAsia" w:ascii="楷体" w:hAnsi="楷体" w:eastAsia="楷体" w:cs="Calibri"/>
          <w:sz w:val="24"/>
          <w:szCs w:val="24"/>
        </w:rPr>
        <w:t>位，小数点</w:t>
      </w:r>
      <w:r>
        <w:rPr>
          <w:rFonts w:hint="eastAsia" w:ascii="楷体" w:hAnsi="楷体" w:eastAsia="楷体" w:cs="Calibri"/>
          <w:sz w:val="24"/>
          <w:szCs w:val="24"/>
          <w:lang w:val="en-US" w:eastAsia="zh-CN"/>
        </w:rPr>
        <w:t>6</w:t>
      </w:r>
      <w:r>
        <w:rPr>
          <w:rFonts w:hint="eastAsia" w:ascii="楷体" w:hAnsi="楷体" w:eastAsia="楷体" w:cs="Calibri"/>
          <w:sz w:val="24"/>
          <w:szCs w:val="24"/>
        </w:rPr>
        <w:t>位后截位。</w:t>
      </w:r>
    </w:p>
    <w:p>
      <w:pPr>
        <w:numPr>
          <w:ilvl w:val="0"/>
          <w:numId w:val="14"/>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本产品每日估值</w:t>
      </w:r>
      <w:r>
        <w:rPr>
          <w:rFonts w:hint="eastAsia" w:ascii="楷体" w:hAnsi="楷体" w:eastAsia="楷体" w:cs="Calibri"/>
          <w:sz w:val="24"/>
          <w:szCs w:val="24"/>
          <w:lang w:eastAsia="zh-CN"/>
        </w:rPr>
        <w:t>，</w:t>
      </w:r>
      <w:r>
        <w:rPr>
          <w:rFonts w:hint="eastAsia" w:ascii="楷体" w:hAnsi="楷体" w:eastAsia="楷体" w:cs="Calibri"/>
          <w:sz w:val="24"/>
          <w:szCs w:val="24"/>
        </w:rPr>
        <w:t>存续期内每周按说明书约定方式披露单位净值，每个开放日结束后2个工作日内通过本理财产品说明书约定方式披露上一投资周期终止日的单位净值、份额累计净值、申购价格和赎回价格。</w:t>
      </w:r>
    </w:p>
    <w:p>
      <w:pPr>
        <w:numPr>
          <w:ilvl w:val="0"/>
          <w:numId w:val="13"/>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估值方法</w:t>
      </w:r>
    </w:p>
    <w:p>
      <w:pPr>
        <w:numPr>
          <w:ilvl w:val="0"/>
          <w:numId w:val="15"/>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存款类资产、货币市场工具：以本金列示，逐日计提利息。</w:t>
      </w:r>
    </w:p>
    <w:p>
      <w:pPr>
        <w:numPr>
          <w:ilvl w:val="0"/>
          <w:numId w:val="15"/>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货币市场</w:t>
      </w:r>
      <w:r>
        <w:rPr>
          <w:rFonts w:ascii="楷体" w:hAnsi="楷体" w:eastAsia="楷体" w:cs="Calibri"/>
          <w:sz w:val="24"/>
          <w:szCs w:val="24"/>
        </w:rPr>
        <w:t>基金：</w:t>
      </w:r>
      <w:r>
        <w:rPr>
          <w:rFonts w:hint="eastAsia" w:ascii="楷体" w:hAnsi="楷体" w:eastAsia="楷体" w:cs="Calibri"/>
          <w:sz w:val="24"/>
          <w:szCs w:val="24"/>
        </w:rPr>
        <w:t>以估值截止时间点能够取得的最新每万份收益进行估值。</w:t>
      </w:r>
    </w:p>
    <w:p>
      <w:pPr>
        <w:numPr>
          <w:ilvl w:val="0"/>
          <w:numId w:val="15"/>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债券类资产：按公允价值进行估值，采用市价、第三方估值机构提供的估值价格、合理的估值技术或监管机构认可的其他估值方法进行估值。</w:t>
      </w:r>
    </w:p>
    <w:p>
      <w:pPr>
        <w:numPr>
          <w:ilvl w:val="0"/>
          <w:numId w:val="15"/>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权益类资产：按公允价值进行估值，采用市价、第三方估值机构提供的估值价格、合理的估值技术或监管机构认可的其他估值方法进行估值。</w:t>
      </w:r>
    </w:p>
    <w:p>
      <w:pPr>
        <w:numPr>
          <w:ilvl w:val="0"/>
          <w:numId w:val="15"/>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证券、基金、保险等资产管理计划和信托计划等资产（不含货币市场基金）：按照证券、基金、保险等资产管理计划和信托计划的管理人和托管人共同确认的最新净值或投资收益进行估值。</w:t>
      </w:r>
    </w:p>
    <w:p>
      <w:pPr>
        <w:numPr>
          <w:ilvl w:val="0"/>
          <w:numId w:val="15"/>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其他资产：按公允价值进行估值，采用合理的估值技术或监管机构认可的估值方法进行估值。</w:t>
      </w:r>
    </w:p>
    <w:p>
      <w:pPr>
        <w:ind w:firstLine="480" w:firstLineChars="200"/>
        <w:rPr>
          <w:rFonts w:hint="eastAsia" w:ascii="楷体" w:hAnsi="楷体" w:eastAsia="楷体"/>
          <w:sz w:val="24"/>
          <w:szCs w:val="24"/>
        </w:rPr>
      </w:pPr>
      <w:r>
        <w:rPr>
          <w:rFonts w:hint="eastAsia" w:ascii="楷体" w:hAnsi="楷体" w:eastAsia="楷体"/>
          <w:sz w:val="24"/>
          <w:szCs w:val="24"/>
        </w:rPr>
        <w:t>如有新增事项或变更事项，按国家最新规定或管理人最新约定进行估值。</w:t>
      </w:r>
    </w:p>
    <w:p>
      <w:pPr>
        <w:numPr>
          <w:ilvl w:val="0"/>
          <w:numId w:val="13"/>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估值错误的处理</w:t>
      </w:r>
    </w:p>
    <w:p>
      <w:pPr>
        <w:ind w:firstLine="480" w:firstLineChars="200"/>
        <w:rPr>
          <w:rFonts w:ascii="楷体" w:hAnsi="楷体" w:eastAsia="楷体"/>
          <w:sz w:val="24"/>
          <w:szCs w:val="24"/>
        </w:rPr>
      </w:pPr>
      <w:r>
        <w:rPr>
          <w:rFonts w:hint="eastAsia" w:ascii="楷体" w:hAnsi="楷体" w:eastAsia="楷体"/>
          <w:sz w:val="24"/>
          <w:szCs w:val="24"/>
        </w:rPr>
        <w:t>产品管理人和产品托管人将采取必要、适当合理的措施确保产品资产估值的准确性、及时性。当产品单位净值出现错误时，产品管理人应当立即予以纠正，并采取合理的措施防止损失进一步扩大。由于证券交易所、期货交易所、第三方估值机构、登记机构等发送数据错误等非理财产品管理人和托管人原因，或由于其它不可抗力原因，产品管理人和产品托管人虽然已采取必要、适当、合理的措施进行检查，但是未能发现该错误的，由此造成的产品估值错误，产品管理人和产品托管人免除赔偿责任。但产品管理人和产品托管人应当积极采取必要的措施消除由此造成的影响。</w:t>
      </w:r>
    </w:p>
    <w:p>
      <w:pPr>
        <w:numPr>
          <w:ilvl w:val="0"/>
          <w:numId w:val="13"/>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暂停估值</w:t>
      </w:r>
    </w:p>
    <w:p>
      <w:pPr>
        <w:ind w:firstLine="480" w:firstLineChars="200"/>
        <w:rPr>
          <w:rFonts w:hint="eastAsia" w:ascii="楷体" w:hAnsi="楷体" w:eastAsia="楷体"/>
          <w:sz w:val="24"/>
          <w:szCs w:val="24"/>
        </w:rPr>
      </w:pPr>
      <w:r>
        <w:rPr>
          <w:rFonts w:hint="eastAsia" w:ascii="楷体" w:hAnsi="楷体" w:eastAsia="楷体"/>
          <w:sz w:val="24"/>
          <w:szCs w:val="24"/>
        </w:rPr>
        <w:t>理财产品投资所涉及的证券交易所遇法定节假日或其他原因暂停营业时，或因任何不可抗力致使无法准确评估资产价值时，可暂停估值。但估值条件恢复时，将按规定完成估值工作。</w:t>
      </w:r>
    </w:p>
    <w:p>
      <w:pPr>
        <w:numPr>
          <w:ilvl w:val="0"/>
          <w:numId w:val="3"/>
        </w:numPr>
        <w:tabs>
          <w:tab w:val="left" w:pos="1134"/>
        </w:tabs>
        <w:ind w:firstLine="562" w:firstLineChars="200"/>
        <w:rPr>
          <w:rFonts w:ascii="楷体" w:hAnsi="楷体" w:eastAsia="楷体"/>
          <w:b/>
          <w:sz w:val="28"/>
          <w:szCs w:val="28"/>
        </w:rPr>
      </w:pPr>
      <w:r>
        <w:rPr>
          <w:rFonts w:hint="eastAsia" w:ascii="楷体" w:hAnsi="楷体" w:eastAsia="楷体"/>
          <w:b/>
          <w:sz w:val="28"/>
          <w:szCs w:val="28"/>
        </w:rPr>
        <w:t>产品运作</w:t>
      </w:r>
    </w:p>
    <w:p>
      <w:pPr>
        <w:numPr>
          <w:ilvl w:val="0"/>
          <w:numId w:val="16"/>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申购份额的计算</w:t>
      </w:r>
    </w:p>
    <w:p>
      <w:pPr>
        <w:ind w:firstLine="480" w:firstLineChars="200"/>
        <w:rPr>
          <w:rFonts w:hint="eastAsia" w:ascii="楷体" w:hAnsi="楷体" w:eastAsia="楷体"/>
          <w:sz w:val="24"/>
          <w:szCs w:val="24"/>
        </w:rPr>
      </w:pPr>
      <w:r>
        <w:rPr>
          <w:rFonts w:hint="eastAsia" w:ascii="楷体" w:hAnsi="楷体" w:eastAsia="楷体"/>
          <w:sz w:val="24"/>
          <w:szCs w:val="24"/>
        </w:rPr>
        <w:t>申购份额=申购金额/申购开放日产品单位净值</w:t>
      </w:r>
    </w:p>
    <w:p>
      <w:pPr>
        <w:ind w:firstLine="480" w:firstLineChars="200"/>
        <w:rPr>
          <w:rFonts w:hint="eastAsia" w:ascii="楷体" w:hAnsi="楷体" w:eastAsia="楷体"/>
          <w:sz w:val="24"/>
          <w:szCs w:val="24"/>
        </w:rPr>
      </w:pPr>
      <w:r>
        <w:rPr>
          <w:rFonts w:hint="eastAsia" w:ascii="楷体" w:hAnsi="楷体" w:eastAsia="楷体"/>
          <w:sz w:val="24"/>
          <w:szCs w:val="24"/>
        </w:rPr>
        <w:t>申购份额以四舍五入的方法保留到小数点后两位</w:t>
      </w:r>
    </w:p>
    <w:p>
      <w:pPr>
        <w:numPr>
          <w:ilvl w:val="0"/>
          <w:numId w:val="16"/>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赎回金额的计算</w:t>
      </w:r>
    </w:p>
    <w:p>
      <w:pPr>
        <w:ind w:firstLine="480" w:firstLineChars="200"/>
        <w:rPr>
          <w:rFonts w:hint="eastAsia" w:ascii="楷体" w:hAnsi="楷体" w:eastAsia="楷体"/>
          <w:sz w:val="24"/>
          <w:szCs w:val="24"/>
        </w:rPr>
      </w:pPr>
      <w:r>
        <w:rPr>
          <w:rFonts w:hint="eastAsia" w:ascii="楷体" w:hAnsi="楷体" w:eastAsia="楷体"/>
          <w:sz w:val="24"/>
          <w:szCs w:val="24"/>
        </w:rPr>
        <w:t>赎回金额=赎回份额*赎回日前一工作日产品单位净值-超额业绩报酬（若有）</w:t>
      </w:r>
    </w:p>
    <w:p>
      <w:pPr>
        <w:ind w:firstLine="482" w:firstLineChars="200"/>
        <w:rPr>
          <w:rFonts w:hint="eastAsia" w:ascii="楷体" w:hAnsi="楷体" w:eastAsia="楷体"/>
          <w:b/>
          <w:bCs/>
          <w:sz w:val="24"/>
          <w:szCs w:val="24"/>
          <w:u w:val="single"/>
        </w:rPr>
      </w:pPr>
      <w:r>
        <w:rPr>
          <w:rFonts w:hint="eastAsia" w:ascii="楷体" w:hAnsi="楷体" w:eastAsia="楷体"/>
          <w:b/>
          <w:bCs/>
          <w:sz w:val="24"/>
          <w:szCs w:val="24"/>
          <w:u w:val="single"/>
        </w:rPr>
        <w:t>投资者持仓份额的产品净值可能含有未收取的超额业绩报酬，赎回兑付金额以实际入账金额为准。</w:t>
      </w:r>
    </w:p>
    <w:p>
      <w:pPr>
        <w:ind w:firstLine="480" w:firstLineChars="200"/>
        <w:rPr>
          <w:rFonts w:hint="eastAsia" w:ascii="楷体" w:hAnsi="楷体" w:eastAsia="楷体"/>
          <w:b/>
          <w:bCs/>
          <w:sz w:val="24"/>
          <w:szCs w:val="24"/>
          <w:u w:val="single"/>
        </w:rPr>
      </w:pPr>
      <w:r>
        <w:rPr>
          <w:rFonts w:hint="eastAsia" w:ascii="楷体" w:hAnsi="楷体" w:eastAsia="楷体"/>
          <w:sz w:val="24"/>
          <w:szCs w:val="24"/>
        </w:rPr>
        <w:t>赎回金额以四舍五入的方法保留到小数点后两位</w:t>
      </w:r>
    </w:p>
    <w:p>
      <w:pPr>
        <w:numPr>
          <w:ilvl w:val="0"/>
          <w:numId w:val="16"/>
        </w:numPr>
        <w:tabs>
          <w:tab w:val="left" w:pos="993"/>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计算示例</w:t>
      </w:r>
    </w:p>
    <w:p>
      <w:pPr>
        <w:tabs>
          <w:tab w:val="left" w:pos="993"/>
        </w:tabs>
        <w:ind w:left="480"/>
        <w:rPr>
          <w:rFonts w:hint="eastAsia" w:ascii="楷体" w:hAnsi="楷体" w:eastAsia="楷体" w:cs="Calibri"/>
          <w:b/>
          <w:sz w:val="24"/>
          <w:szCs w:val="24"/>
          <w:u w:val="single"/>
        </w:rPr>
      </w:pPr>
      <w:r>
        <w:rPr>
          <w:rFonts w:hint="eastAsia" w:ascii="楷体" w:hAnsi="楷体" w:eastAsia="楷体" w:cs="Calibri"/>
          <w:b/>
          <w:sz w:val="24"/>
          <w:szCs w:val="24"/>
          <w:u w:val="single"/>
        </w:rPr>
        <w:t>以下示例均为假设情况，不代表本产品实际投资业绩。</w:t>
      </w:r>
    </w:p>
    <w:p>
      <w:pPr>
        <w:tabs>
          <w:tab w:val="left" w:pos="993"/>
        </w:tabs>
        <w:ind w:firstLine="482" w:firstLineChars="200"/>
        <w:rPr>
          <w:rFonts w:hint="eastAsia" w:ascii="楷体" w:hAnsi="楷体" w:eastAsia="楷体" w:cs="Calibri"/>
          <w:b/>
          <w:sz w:val="24"/>
          <w:szCs w:val="24"/>
          <w:u w:val="single"/>
        </w:rPr>
      </w:pPr>
      <w:r>
        <w:rPr>
          <w:rFonts w:hint="eastAsia" w:ascii="楷体" w:hAnsi="楷体" w:eastAsia="楷体" w:cs="Calibri"/>
          <w:b/>
          <w:sz w:val="24"/>
          <w:szCs w:val="24"/>
          <w:u w:val="single"/>
        </w:rPr>
        <w:t>假设客户申购本产品</w:t>
      </w:r>
      <w:r>
        <w:rPr>
          <w:rFonts w:hint="eastAsia" w:ascii="楷体" w:hAnsi="楷体" w:eastAsia="楷体" w:cs="Calibri"/>
          <w:b/>
          <w:sz w:val="24"/>
          <w:szCs w:val="24"/>
          <w:u w:val="single"/>
          <w:lang w:val="en-US" w:eastAsia="zh-CN"/>
        </w:rPr>
        <w:t>Z</w:t>
      </w:r>
      <w:r>
        <w:rPr>
          <w:rFonts w:hint="eastAsia" w:ascii="楷体" w:hAnsi="楷体" w:eastAsia="楷体" w:cs="Calibri"/>
          <w:b/>
          <w:sz w:val="24"/>
          <w:szCs w:val="24"/>
          <w:u w:val="single"/>
        </w:rPr>
        <w:t>份额1万元，公布的182天业绩比较基准</w:t>
      </w:r>
      <w:r>
        <w:rPr>
          <w:rFonts w:hint="eastAsia" w:ascii="楷体" w:hAnsi="楷体" w:eastAsia="楷体" w:cs="Calibri"/>
          <w:b/>
          <w:sz w:val="24"/>
          <w:szCs w:val="24"/>
          <w:u w:val="single"/>
          <w:lang w:val="en-US" w:eastAsia="zh-CN"/>
        </w:rPr>
        <w:t>为2.20%-3.00%</w:t>
      </w:r>
      <w:r>
        <w:rPr>
          <w:rFonts w:hint="eastAsia" w:ascii="楷体" w:hAnsi="楷体" w:eastAsia="楷体" w:cs="Calibri"/>
          <w:b/>
          <w:sz w:val="24"/>
          <w:szCs w:val="24"/>
          <w:u w:val="single"/>
        </w:rPr>
        <w:t>，</w:t>
      </w:r>
      <w:r>
        <w:rPr>
          <w:rFonts w:hint="eastAsia" w:ascii="楷体" w:hAnsi="楷体" w:eastAsia="楷体" w:cs="Calibri"/>
          <w:b/>
          <w:sz w:val="24"/>
          <w:szCs w:val="24"/>
          <w:u w:val="single"/>
          <w:lang w:val="en-US" w:eastAsia="zh-CN"/>
        </w:rPr>
        <w:t>份额业绩比较基准下限+（业绩比较基准上限-业绩比较基准下限）*50%=2.60%，</w:t>
      </w:r>
      <w:r>
        <w:rPr>
          <w:rFonts w:hint="eastAsia" w:ascii="楷体" w:hAnsi="楷体" w:eastAsia="楷体" w:cs="Calibri"/>
          <w:b/>
          <w:sz w:val="24"/>
          <w:szCs w:val="24"/>
          <w:u w:val="single"/>
        </w:rPr>
        <w:t>客户份额确认时的产品净值为1.034613，客户确认份额为9665.45份。客户份额运作满182天自动赎回退出，根据赎回退出日的产品单位净值计算有以下4种情形。</w:t>
      </w:r>
    </w:p>
    <w:p>
      <w:pPr>
        <w:numPr>
          <w:ilvl w:val="0"/>
          <w:numId w:val="17"/>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情景一</w:t>
      </w:r>
    </w:p>
    <w:p>
      <w:pPr>
        <w:ind w:firstLine="424" w:firstLineChars="177"/>
        <w:rPr>
          <w:rFonts w:ascii="楷体" w:hAnsi="楷体" w:eastAsia="楷体" w:cs="Calibri"/>
          <w:sz w:val="24"/>
          <w:szCs w:val="24"/>
        </w:rPr>
      </w:pPr>
      <w:r>
        <w:rPr>
          <w:rFonts w:hint="eastAsia" w:ascii="楷体" w:hAnsi="楷体" w:eastAsia="楷体" w:cs="Calibri"/>
          <w:sz w:val="24"/>
          <w:szCs w:val="24"/>
        </w:rPr>
        <w:t>假设赎回退</w:t>
      </w:r>
      <w:r>
        <w:rPr>
          <w:rFonts w:hint="eastAsia" w:ascii="楷体" w:hAnsi="楷体" w:eastAsia="楷体" w:cs="Calibri"/>
          <w:sz w:val="24"/>
          <w:szCs w:val="24"/>
          <w:lang w:val="en-US" w:eastAsia="zh-CN"/>
        </w:rPr>
        <w:t>出时产品单位净值为1.063889，客户份额持有期间净值增长率为5.67%，则管理人对超出年化2.20%的部分收取30%的超额业绩报酬，并对超出年化2.60%的部分收取50%的超额业绩报酬，客户实际收益</w:t>
      </w:r>
      <w:r>
        <w:rPr>
          <w:rFonts w:hint="eastAsia" w:ascii="楷体" w:hAnsi="楷体" w:eastAsia="楷体" w:cs="Calibri"/>
          <w:sz w:val="24"/>
          <w:szCs w:val="24"/>
        </w:rPr>
        <w:t>率为</w:t>
      </w:r>
      <w:r>
        <w:rPr>
          <w:rFonts w:hint="eastAsia" w:ascii="楷体" w:hAnsi="楷体" w:eastAsia="楷体" w:cs="Calibri"/>
          <w:sz w:val="24"/>
          <w:szCs w:val="24"/>
          <w:lang w:val="en-US" w:eastAsia="zh-CN"/>
        </w:rPr>
        <w:t>4.02%</w:t>
      </w:r>
      <w:r>
        <w:rPr>
          <w:rFonts w:hint="eastAsia" w:ascii="楷体" w:hAnsi="楷体" w:eastAsia="楷体" w:cs="Calibri"/>
          <w:sz w:val="24"/>
          <w:szCs w:val="24"/>
        </w:rPr>
        <w:t>。</w:t>
      </w:r>
    </w:p>
    <w:p>
      <w:pPr>
        <w:tabs>
          <w:tab w:val="left" w:pos="728"/>
        </w:tabs>
        <w:ind w:left="420"/>
        <w:rPr>
          <w:rFonts w:ascii="楷体" w:hAnsi="楷体" w:eastAsia="楷体" w:cs="Calibri"/>
          <w:sz w:val="24"/>
          <w:szCs w:val="24"/>
        </w:rPr>
      </w:pPr>
      <w:r>
        <w:rPr>
          <w:rFonts w:hint="eastAsia" w:ascii="楷体" w:hAnsi="楷体" w:eastAsia="楷体" w:cs="Calibri"/>
          <w:sz w:val="24"/>
          <w:szCs w:val="24"/>
        </w:rPr>
        <w:t>2</w:t>
      </w:r>
      <w:r>
        <w:rPr>
          <w:rFonts w:ascii="楷体" w:hAnsi="楷体" w:eastAsia="楷体" w:cs="Calibri"/>
          <w:sz w:val="24"/>
          <w:szCs w:val="24"/>
        </w:rPr>
        <w:t>.情景二</w:t>
      </w:r>
    </w:p>
    <w:p>
      <w:pPr>
        <w:tabs>
          <w:tab w:val="left" w:pos="728"/>
        </w:tabs>
        <w:ind w:firstLine="424" w:firstLineChars="177"/>
        <w:rPr>
          <w:rFonts w:ascii="楷体" w:hAnsi="楷体" w:eastAsia="楷体" w:cs="Calibri"/>
          <w:sz w:val="24"/>
          <w:szCs w:val="24"/>
        </w:rPr>
      </w:pPr>
      <w:r>
        <w:rPr>
          <w:rFonts w:hint="eastAsia" w:ascii="楷体" w:hAnsi="楷体" w:eastAsia="楷体" w:cs="Calibri"/>
          <w:sz w:val="24"/>
          <w:szCs w:val="24"/>
        </w:rPr>
        <w:t>假设赎回退出时产品单位净值为1.047521，客户份额持有期间净值增长率为</w:t>
      </w:r>
      <w:r>
        <w:rPr>
          <w:rFonts w:hint="eastAsia" w:ascii="楷体" w:hAnsi="楷体" w:eastAsia="楷体" w:cs="Calibri"/>
          <w:sz w:val="24"/>
          <w:szCs w:val="24"/>
          <w:lang w:val="en-US" w:eastAsia="zh-CN"/>
        </w:rPr>
        <w:t>2.50</w:t>
      </w:r>
      <w:r>
        <w:rPr>
          <w:rFonts w:hint="eastAsia" w:ascii="楷体" w:hAnsi="楷体" w:eastAsia="楷体" w:cs="Calibri"/>
          <w:sz w:val="24"/>
          <w:szCs w:val="24"/>
        </w:rPr>
        <w:t>%，</w:t>
      </w:r>
      <w:r>
        <w:rPr>
          <w:rFonts w:hint="eastAsia" w:ascii="楷体" w:hAnsi="楷体" w:eastAsia="楷体" w:cs="Calibri"/>
          <w:sz w:val="24"/>
          <w:szCs w:val="24"/>
          <w:lang w:val="en-US" w:eastAsia="zh-CN"/>
        </w:rPr>
        <w:t>则管理人对超出年化2.20%的部分收取30%的超额业绩报酬，客户实际收益</w:t>
      </w:r>
      <w:r>
        <w:rPr>
          <w:rFonts w:hint="eastAsia" w:ascii="楷体" w:hAnsi="楷体" w:eastAsia="楷体" w:cs="Calibri"/>
          <w:sz w:val="24"/>
          <w:szCs w:val="24"/>
        </w:rPr>
        <w:t>率为</w:t>
      </w:r>
      <w:r>
        <w:rPr>
          <w:rFonts w:hint="eastAsia" w:ascii="楷体" w:hAnsi="楷体" w:eastAsia="楷体" w:cs="Calibri"/>
          <w:sz w:val="24"/>
          <w:szCs w:val="24"/>
          <w:lang w:val="en-US" w:eastAsia="zh-CN"/>
        </w:rPr>
        <w:t>2.41%</w:t>
      </w:r>
      <w:r>
        <w:rPr>
          <w:rFonts w:hint="eastAsia" w:ascii="楷体" w:hAnsi="楷体" w:eastAsia="楷体" w:cs="Calibri"/>
          <w:sz w:val="24"/>
          <w:szCs w:val="24"/>
        </w:rPr>
        <w:t>。</w:t>
      </w:r>
    </w:p>
    <w:p>
      <w:pPr>
        <w:autoSpaceDE w:val="0"/>
        <w:autoSpaceDN w:val="0"/>
        <w:adjustRightInd w:val="0"/>
        <w:ind w:firstLine="424" w:firstLineChars="177"/>
        <w:jc w:val="left"/>
        <w:rPr>
          <w:rFonts w:hint="eastAsia" w:ascii="楷体" w:hAnsi="楷体" w:eastAsia="楷体" w:cs="Calibri"/>
          <w:sz w:val="24"/>
          <w:szCs w:val="24"/>
        </w:rPr>
      </w:pPr>
      <w:r>
        <w:rPr>
          <w:rFonts w:hint="eastAsia" w:ascii="楷体" w:hAnsi="楷体" w:eastAsia="楷体" w:cs="Calibri"/>
          <w:sz w:val="24"/>
          <w:szCs w:val="24"/>
        </w:rPr>
        <w:t>3</w:t>
      </w:r>
      <w:r>
        <w:rPr>
          <w:rFonts w:ascii="楷体" w:hAnsi="楷体" w:eastAsia="楷体" w:cs="Calibri"/>
          <w:sz w:val="24"/>
          <w:szCs w:val="24"/>
        </w:rPr>
        <w:t>.</w:t>
      </w:r>
      <w:r>
        <w:rPr>
          <w:rFonts w:hint="eastAsia" w:ascii="楷体" w:hAnsi="楷体" w:eastAsia="楷体" w:cs="Calibri"/>
          <w:sz w:val="24"/>
          <w:szCs w:val="24"/>
        </w:rPr>
        <w:t>情景三</w:t>
      </w:r>
    </w:p>
    <w:p>
      <w:pPr>
        <w:tabs>
          <w:tab w:val="left" w:pos="728"/>
        </w:tabs>
        <w:ind w:firstLine="424" w:firstLineChars="177"/>
        <w:rPr>
          <w:rFonts w:hint="eastAsia" w:ascii="楷体" w:hAnsi="楷体" w:eastAsia="楷体" w:cs="Calibri"/>
          <w:sz w:val="24"/>
          <w:szCs w:val="24"/>
        </w:rPr>
      </w:pPr>
      <w:r>
        <w:rPr>
          <w:rFonts w:hint="eastAsia" w:ascii="楷体" w:hAnsi="楷体" w:eastAsia="楷体" w:cs="Calibri"/>
          <w:sz w:val="24"/>
          <w:szCs w:val="24"/>
        </w:rPr>
        <w:t>假设赎回退出时产品单位净值为1.045845，客户份额持有期间净值增长率为</w:t>
      </w:r>
      <w:r>
        <w:rPr>
          <w:rFonts w:hint="eastAsia" w:ascii="楷体" w:hAnsi="楷体" w:eastAsia="楷体" w:cs="Calibri"/>
          <w:sz w:val="24"/>
          <w:szCs w:val="24"/>
          <w:lang w:val="en-US" w:eastAsia="zh-CN"/>
        </w:rPr>
        <w:t>2.18</w:t>
      </w:r>
      <w:r>
        <w:rPr>
          <w:rFonts w:hint="eastAsia" w:ascii="楷体" w:hAnsi="楷体" w:eastAsia="楷体" w:cs="Calibri"/>
          <w:sz w:val="24"/>
          <w:szCs w:val="24"/>
        </w:rPr>
        <w:t>%，客户按赎回退出时产品单位净值兑付，客户实际收益为</w:t>
      </w:r>
      <w:r>
        <w:rPr>
          <w:rFonts w:hint="eastAsia" w:ascii="楷体" w:hAnsi="楷体" w:eastAsia="楷体" w:cs="Calibri"/>
          <w:sz w:val="24"/>
          <w:szCs w:val="24"/>
          <w:lang w:val="en-US" w:eastAsia="zh-CN"/>
        </w:rPr>
        <w:t>2.18</w:t>
      </w:r>
      <w:r>
        <w:rPr>
          <w:rFonts w:hint="eastAsia" w:ascii="楷体" w:hAnsi="楷体" w:eastAsia="楷体" w:cs="Calibri"/>
          <w:sz w:val="24"/>
          <w:szCs w:val="24"/>
        </w:rPr>
        <w:t>%，管理人无</w:t>
      </w:r>
      <w:r>
        <w:rPr>
          <w:rFonts w:hint="eastAsia" w:ascii="楷体" w:hAnsi="楷体" w:eastAsia="楷体" w:cs="Calibri"/>
          <w:sz w:val="24"/>
          <w:szCs w:val="24"/>
          <w:lang w:val="en-US" w:eastAsia="zh-CN"/>
        </w:rPr>
        <w:t>超额业绩报酬</w:t>
      </w:r>
      <w:r>
        <w:rPr>
          <w:rFonts w:hint="eastAsia" w:ascii="楷体" w:hAnsi="楷体" w:eastAsia="楷体" w:cs="Calibri"/>
          <w:sz w:val="24"/>
          <w:szCs w:val="24"/>
        </w:rPr>
        <w:t>。</w:t>
      </w:r>
    </w:p>
    <w:p>
      <w:pPr>
        <w:autoSpaceDE w:val="0"/>
        <w:autoSpaceDN w:val="0"/>
        <w:adjustRightInd w:val="0"/>
        <w:ind w:firstLine="424" w:firstLineChars="177"/>
        <w:jc w:val="left"/>
        <w:rPr>
          <w:rFonts w:hint="eastAsia" w:ascii="楷体" w:hAnsi="楷体" w:eastAsia="楷体" w:cs="Calibri"/>
          <w:sz w:val="24"/>
          <w:szCs w:val="24"/>
        </w:rPr>
      </w:pPr>
      <w:r>
        <w:rPr>
          <w:rFonts w:hint="eastAsia" w:ascii="楷体" w:hAnsi="楷体" w:eastAsia="楷体" w:cs="Calibri"/>
          <w:sz w:val="24"/>
          <w:szCs w:val="24"/>
        </w:rPr>
        <w:t>4</w:t>
      </w:r>
      <w:r>
        <w:rPr>
          <w:rFonts w:ascii="楷体" w:hAnsi="楷体" w:eastAsia="楷体" w:cs="Calibri"/>
          <w:sz w:val="24"/>
          <w:szCs w:val="24"/>
        </w:rPr>
        <w:t>.</w:t>
      </w:r>
      <w:r>
        <w:rPr>
          <w:rFonts w:hint="eastAsia" w:ascii="楷体" w:hAnsi="楷体" w:eastAsia="楷体" w:cs="Calibri"/>
          <w:sz w:val="24"/>
          <w:szCs w:val="24"/>
        </w:rPr>
        <w:t>情景四</w:t>
      </w:r>
    </w:p>
    <w:p>
      <w:pPr>
        <w:tabs>
          <w:tab w:val="left" w:pos="728"/>
        </w:tabs>
        <w:ind w:firstLine="424" w:firstLineChars="177"/>
        <w:rPr>
          <w:rFonts w:hint="eastAsia" w:ascii="楷体" w:hAnsi="楷体" w:eastAsia="楷体" w:cs="Calibri"/>
          <w:sz w:val="24"/>
          <w:szCs w:val="24"/>
        </w:rPr>
      </w:pPr>
      <w:r>
        <w:rPr>
          <w:rFonts w:hint="eastAsia" w:ascii="楷体" w:hAnsi="楷体" w:eastAsia="楷体" w:cs="Calibri"/>
          <w:sz w:val="24"/>
          <w:szCs w:val="24"/>
        </w:rPr>
        <w:t>假设赎回退出时产品净值为1.034513，客户份额持有期限净值增长率为-0.02%，客户按赎回退出日产品单位净值兑付，客户无收益，实际发生本金损失0.02%，管理人无</w:t>
      </w:r>
      <w:r>
        <w:rPr>
          <w:rFonts w:hint="eastAsia" w:ascii="楷体" w:hAnsi="楷体" w:eastAsia="楷体" w:cs="Calibri"/>
          <w:sz w:val="24"/>
          <w:szCs w:val="24"/>
          <w:lang w:val="en-US" w:eastAsia="zh-CN"/>
        </w:rPr>
        <w:t>超额业绩报酬</w:t>
      </w:r>
      <w:r>
        <w:rPr>
          <w:rFonts w:hint="eastAsia" w:ascii="楷体" w:hAnsi="楷体" w:eastAsia="楷体" w:cs="Calibri"/>
          <w:sz w:val="24"/>
          <w:szCs w:val="24"/>
        </w:rPr>
        <w:t>。</w:t>
      </w:r>
    </w:p>
    <w:p>
      <w:pPr>
        <w:ind w:firstLine="424" w:firstLineChars="176"/>
        <w:rPr>
          <w:rFonts w:hint="eastAsia" w:ascii="楷体" w:hAnsi="楷体" w:eastAsia="楷体" w:cs="Calibri"/>
          <w:sz w:val="24"/>
          <w:szCs w:val="24"/>
        </w:rPr>
      </w:pPr>
      <w:r>
        <w:rPr>
          <w:rFonts w:hint="eastAsia" w:ascii="楷体" w:hAnsi="楷体" w:eastAsia="楷体"/>
          <w:b/>
          <w:sz w:val="24"/>
          <w:szCs w:val="24"/>
          <w:u w:val="single"/>
        </w:rPr>
        <w:t>最不利的情形下，投资者可能损失100%本金。</w:t>
      </w:r>
    </w:p>
    <w:p>
      <w:pPr>
        <w:ind w:firstLine="426" w:firstLineChars="177"/>
        <w:rPr>
          <w:rFonts w:hint="eastAsia" w:ascii="楷体" w:hAnsi="楷体" w:eastAsia="楷体"/>
          <w:sz w:val="24"/>
          <w:szCs w:val="24"/>
        </w:rPr>
      </w:pPr>
      <w:r>
        <w:rPr>
          <w:rFonts w:hint="eastAsia" w:ascii="楷体" w:hAnsi="楷体" w:eastAsia="楷体"/>
          <w:b/>
          <w:sz w:val="24"/>
          <w:szCs w:val="24"/>
          <w:u w:val="single"/>
        </w:rPr>
        <w:t>上述情况假设仅用于向投资者示例收益计算方法之用，并不代表管理人对实际投资情况的预期判断，也不代表以上所有情形或某一情形一定会发生，或管理人认为发生的可能性很大。投资者获得的最终收益以产品实际运作表现及管理人实际支付为准。</w:t>
      </w:r>
    </w:p>
    <w:p>
      <w:pPr>
        <w:tabs>
          <w:tab w:val="left" w:pos="1134"/>
        </w:tabs>
        <w:ind w:left="420" w:leftChars="200"/>
        <w:rPr>
          <w:rFonts w:hint="eastAsia" w:ascii="楷体" w:hAnsi="楷体" w:eastAsia="楷体"/>
          <w:b/>
          <w:sz w:val="28"/>
          <w:szCs w:val="28"/>
        </w:rPr>
      </w:pPr>
      <w:r>
        <w:rPr>
          <w:rFonts w:hint="eastAsia" w:ascii="楷体" w:hAnsi="楷体" w:eastAsia="楷体"/>
          <w:b/>
          <w:sz w:val="28"/>
          <w:szCs w:val="28"/>
        </w:rPr>
        <w:t>十一、理财产品的终止与清算</w:t>
      </w:r>
    </w:p>
    <w:p>
      <w:pPr>
        <w:numPr>
          <w:ilvl w:val="0"/>
          <w:numId w:val="18"/>
        </w:numPr>
        <w:tabs>
          <w:tab w:val="left" w:pos="993"/>
        </w:tabs>
        <w:ind w:left="0" w:firstLine="482" w:firstLineChars="200"/>
        <w:outlineLvl w:val="2"/>
        <w:rPr>
          <w:rFonts w:hint="eastAsia" w:ascii="楷体" w:hAnsi="楷体" w:eastAsia="楷体" w:cs="Calibri"/>
          <w:b/>
          <w:sz w:val="24"/>
          <w:szCs w:val="24"/>
        </w:rPr>
      </w:pPr>
      <w:r>
        <w:rPr>
          <w:rFonts w:hint="eastAsia" w:ascii="楷体" w:hAnsi="楷体" w:eastAsia="楷体" w:cs="Calibri"/>
          <w:b/>
          <w:sz w:val="24"/>
          <w:szCs w:val="24"/>
        </w:rPr>
        <w:t>理财产品的终止</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提前终止</w:t>
      </w:r>
    </w:p>
    <w:p>
      <w:pPr>
        <w:ind w:firstLine="480" w:firstLineChars="200"/>
        <w:rPr>
          <w:rFonts w:hint="eastAsia" w:ascii="楷体" w:hAnsi="楷体" w:eastAsia="楷体"/>
          <w:sz w:val="24"/>
          <w:szCs w:val="24"/>
        </w:rPr>
      </w:pPr>
      <w:r>
        <w:rPr>
          <w:rFonts w:hint="eastAsia" w:ascii="楷体" w:hAnsi="楷体" w:eastAsia="楷体"/>
          <w:sz w:val="24"/>
          <w:szCs w:val="24"/>
        </w:rPr>
        <w:t>在理财产品投资运作期间内，投资者无权要求提前终止该理财产品。在理财产品投资运作期间内，当出现下列情形之一时，产品管理人有权部分或全部终止本产品：</w:t>
      </w:r>
    </w:p>
    <w:p>
      <w:pPr>
        <w:numPr>
          <w:ilvl w:val="0"/>
          <w:numId w:val="20"/>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因不可抗力原因导致理财产品无法继续运作</w:t>
      </w:r>
      <w:r>
        <w:rPr>
          <w:rFonts w:hint="eastAsia" w:ascii="楷体" w:hAnsi="楷体" w:eastAsia="楷体" w:cs="Calibri"/>
          <w:sz w:val="24"/>
          <w:szCs w:val="24"/>
          <w:lang w:eastAsia="zh-CN"/>
        </w:rPr>
        <w:t>；</w:t>
      </w:r>
    </w:p>
    <w:p>
      <w:pPr>
        <w:numPr>
          <w:ilvl w:val="0"/>
          <w:numId w:val="20"/>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因法律法规变化或国家金融政策调整、紧急措施出台影响产品继续正常运作</w:t>
      </w:r>
      <w:r>
        <w:rPr>
          <w:rFonts w:hint="eastAsia" w:ascii="楷体" w:hAnsi="楷体" w:eastAsia="楷体" w:cs="Calibri"/>
          <w:sz w:val="24"/>
          <w:szCs w:val="24"/>
          <w:lang w:eastAsia="zh-CN"/>
        </w:rPr>
        <w:t>；</w:t>
      </w:r>
    </w:p>
    <w:p>
      <w:pPr>
        <w:numPr>
          <w:ilvl w:val="0"/>
          <w:numId w:val="20"/>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法律法规规定或监管部门认定的其他情形。</w:t>
      </w:r>
    </w:p>
    <w:p>
      <w:pPr>
        <w:numPr>
          <w:ilvl w:val="0"/>
          <w:numId w:val="0"/>
        </w:numPr>
        <w:tabs>
          <w:tab w:val="left" w:pos="1092"/>
        </w:tabs>
        <w:ind w:firstLine="480" w:firstLineChars="200"/>
        <w:rPr>
          <w:rFonts w:hint="eastAsia" w:ascii="楷体" w:hAnsi="楷体" w:eastAsia="楷体" w:cs="Calibri"/>
          <w:sz w:val="24"/>
          <w:szCs w:val="24"/>
        </w:rPr>
      </w:pPr>
      <w:r>
        <w:rPr>
          <w:rFonts w:hint="eastAsia" w:ascii="楷体" w:hAnsi="楷体" w:eastAsia="楷体"/>
          <w:sz w:val="24"/>
          <w:szCs w:val="24"/>
          <w:lang w:val="en-US" w:eastAsia="zh-CN"/>
        </w:rPr>
        <w:t>理财产品不因投资者死亡、丧失民事行为能力、破产等原因而终止。投资者因各种原因无法继续履行合同的，投资者的法定继承人、承继人、指定受益人或继任管理人等合法主体承担原投资者在本理财产品合同中相应的全部权利与义务。</w:t>
      </w:r>
    </w:p>
    <w:p>
      <w:pPr>
        <w:ind w:firstLine="480" w:firstLineChars="200"/>
        <w:rPr>
          <w:rFonts w:hint="eastAsia" w:ascii="楷体" w:hAnsi="楷体" w:eastAsia="楷体"/>
          <w:sz w:val="24"/>
          <w:szCs w:val="24"/>
        </w:rPr>
      </w:pPr>
      <w:r>
        <w:rPr>
          <w:rFonts w:hint="eastAsia" w:ascii="楷体" w:hAnsi="楷体" w:eastAsia="楷体"/>
          <w:sz w:val="24"/>
          <w:szCs w:val="24"/>
        </w:rPr>
        <w:t>如理财产品管理人提前终止本理财产品，将至少提前</w:t>
      </w:r>
      <w:r>
        <w:rPr>
          <w:rFonts w:ascii="楷体" w:hAnsi="楷体" w:eastAsia="楷体"/>
          <w:sz w:val="24"/>
          <w:szCs w:val="24"/>
        </w:rPr>
        <w:t>2</w:t>
      </w:r>
      <w:r>
        <w:rPr>
          <w:rFonts w:hint="eastAsia" w:ascii="楷体" w:hAnsi="楷体" w:eastAsia="楷体"/>
          <w:sz w:val="24"/>
          <w:szCs w:val="24"/>
        </w:rPr>
        <w:t>个工作日（含）按本理财产品说明书约定的信息披露方式予以披露。</w:t>
      </w:r>
    </w:p>
    <w:p>
      <w:pPr>
        <w:numPr>
          <w:ilvl w:val="0"/>
          <w:numId w:val="19"/>
        </w:numPr>
        <w:tabs>
          <w:tab w:val="left" w:pos="728"/>
        </w:tabs>
        <w:ind w:left="0" w:firstLine="480" w:firstLineChars="200"/>
        <w:rPr>
          <w:rFonts w:hint="eastAsia" w:ascii="楷体" w:hAnsi="楷体" w:eastAsia="楷体" w:cs="Calibri"/>
          <w:b w:val="0"/>
          <w:color w:val="auto"/>
          <w:sz w:val="24"/>
          <w:szCs w:val="24"/>
        </w:rPr>
      </w:pPr>
      <w:r>
        <w:rPr>
          <w:rFonts w:hint="eastAsia" w:ascii="楷体" w:hAnsi="楷体" w:eastAsia="楷体" w:cs="Calibri"/>
          <w:b w:val="0"/>
          <w:color w:val="auto"/>
          <w:sz w:val="24"/>
          <w:szCs w:val="24"/>
          <w:lang w:val="en-US" w:eastAsia="zh-CN"/>
        </w:rPr>
        <w:t>正常兑付</w:t>
      </w:r>
    </w:p>
    <w:p>
      <w:pPr>
        <w:ind w:firstLine="480" w:firstLineChars="200"/>
        <w:rPr>
          <w:rFonts w:hint="eastAsia" w:ascii="楷体" w:hAnsi="楷体" w:eastAsia="楷体"/>
          <w:sz w:val="24"/>
          <w:szCs w:val="24"/>
        </w:rPr>
      </w:pPr>
      <w:r>
        <w:rPr>
          <w:rFonts w:hint="eastAsia" w:ascii="楷体" w:hAnsi="楷体" w:eastAsia="楷体"/>
          <w:sz w:val="24"/>
          <w:szCs w:val="24"/>
          <w:lang w:val="en-US" w:eastAsia="zh-CN"/>
        </w:rPr>
        <w:t>投资者持有本理财产品至产品到期日，投资者的投资本金和收益（如有）将在产品到期后一次性支付。理财产品正常终止并兑付的，投资者的投资本金和收益（如有）将于产品到期日后5个工作日以内划至投资者指定账户，如遇法定节假日或公休日则相应顺延。产品到期日至资金实际到账日之间，投资者资金不计息。</w:t>
      </w:r>
    </w:p>
    <w:p>
      <w:pPr>
        <w:numPr>
          <w:ilvl w:val="0"/>
          <w:numId w:val="1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★延期兑付</w:t>
      </w:r>
    </w:p>
    <w:p>
      <w:pPr>
        <w:ind w:firstLine="480" w:firstLineChars="200"/>
        <w:rPr>
          <w:rFonts w:hint="eastAsia" w:ascii="楷体" w:hAnsi="楷体" w:eastAsia="楷体"/>
          <w:sz w:val="24"/>
          <w:szCs w:val="24"/>
        </w:rPr>
      </w:pPr>
      <w:r>
        <w:rPr>
          <w:rFonts w:hint="eastAsia" w:ascii="楷体" w:hAnsi="楷体" w:eastAsia="楷体"/>
          <w:sz w:val="24"/>
          <w:szCs w:val="24"/>
        </w:rPr>
        <w:t>出现以下情况，产品管理人有权延长本理财产品的终止日：</w:t>
      </w:r>
    </w:p>
    <w:p>
      <w:pPr>
        <w:numPr>
          <w:ilvl w:val="0"/>
          <w:numId w:val="21"/>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产品终止日遇非工作日则顺延至下一工作日，投资者清算资金到账日将相应调整；</w:t>
      </w:r>
    </w:p>
    <w:p>
      <w:pPr>
        <w:numPr>
          <w:ilvl w:val="0"/>
          <w:numId w:val="21"/>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因不可抗力、市场发生重大变化等原因导致产品项下对应的投资标的无法及时变现、无法及时收回资金</w:t>
      </w:r>
      <w:r>
        <w:rPr>
          <w:rFonts w:hint="eastAsia" w:ascii="楷体" w:hAnsi="楷体" w:eastAsia="楷体" w:cs="Calibri"/>
          <w:sz w:val="24"/>
          <w:szCs w:val="24"/>
          <w:lang w:eastAsia="zh-CN"/>
        </w:rPr>
        <w:t>；</w:t>
      </w:r>
    </w:p>
    <w:p>
      <w:pPr>
        <w:numPr>
          <w:ilvl w:val="0"/>
          <w:numId w:val="21"/>
        </w:numPr>
        <w:tabs>
          <w:tab w:val="left" w:pos="1092"/>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法律法规规定或监管部门认定的其他情形。</w:t>
      </w:r>
    </w:p>
    <w:p>
      <w:pPr>
        <w:ind w:firstLine="480" w:firstLineChars="200"/>
        <w:rPr>
          <w:rFonts w:hint="eastAsia" w:ascii="楷体" w:hAnsi="楷体" w:eastAsia="楷体"/>
          <w:sz w:val="24"/>
          <w:szCs w:val="24"/>
        </w:rPr>
      </w:pPr>
      <w:r>
        <w:rPr>
          <w:rFonts w:hint="eastAsia" w:ascii="楷体" w:hAnsi="楷体" w:eastAsia="楷体"/>
          <w:sz w:val="24"/>
          <w:szCs w:val="24"/>
        </w:rPr>
        <w:t>产品管理人决定延期兑付的，将至少提前</w:t>
      </w:r>
      <w:r>
        <w:rPr>
          <w:rFonts w:ascii="楷体" w:hAnsi="楷体" w:eastAsia="楷体"/>
          <w:sz w:val="24"/>
          <w:szCs w:val="24"/>
        </w:rPr>
        <w:t>2</w:t>
      </w:r>
      <w:r>
        <w:rPr>
          <w:rFonts w:hint="eastAsia" w:ascii="楷体" w:hAnsi="楷体" w:eastAsia="楷体"/>
          <w:sz w:val="24"/>
          <w:szCs w:val="24"/>
        </w:rPr>
        <w:t>个工作日（含）按本理财产品说明书约定的信息披露方式予以披露。</w:t>
      </w:r>
    </w:p>
    <w:p>
      <w:pPr>
        <w:numPr>
          <w:ilvl w:val="0"/>
          <w:numId w:val="18"/>
        </w:numPr>
        <w:tabs>
          <w:tab w:val="left" w:pos="993"/>
        </w:tabs>
        <w:ind w:left="0" w:firstLine="482" w:firstLineChars="200"/>
        <w:outlineLvl w:val="2"/>
        <w:rPr>
          <w:rFonts w:hint="eastAsia" w:ascii="楷体" w:hAnsi="楷体" w:eastAsia="楷体" w:cs="Calibri"/>
          <w:b/>
          <w:sz w:val="24"/>
          <w:szCs w:val="24"/>
        </w:rPr>
      </w:pPr>
      <w:r>
        <w:rPr>
          <w:rFonts w:hint="eastAsia" w:ascii="楷体" w:hAnsi="楷体" w:eastAsia="楷体" w:cs="Calibri"/>
          <w:b/>
          <w:sz w:val="24"/>
          <w:szCs w:val="24"/>
        </w:rPr>
        <w:t>理财产品的清算</w:t>
      </w:r>
    </w:p>
    <w:p>
      <w:pPr>
        <w:numPr>
          <w:ilvl w:val="0"/>
          <w:numId w:val="22"/>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自本理财产品终止日至投资者理财本金及收益到账日之间为本理财产品的清算期。清算期不计算利息或投资收益。清算期原则上不得超过5个工作日，清算期超过5个工作日的，将依约定进行公告。</w:t>
      </w:r>
    </w:p>
    <w:p>
      <w:pPr>
        <w:numPr>
          <w:ilvl w:val="0"/>
          <w:numId w:val="22"/>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产品管理人将依照合同约定公布提前终止日并明确兑付日（一般为提前终止日之后的三个工作日以内）。产品管理人应将投资者理财资金于兑付日（遇节假日顺延）内划转至投资者资金账户。理财产品提前终止日（含当日）至兑付日之间，投资者资金不计息。</w:t>
      </w:r>
    </w:p>
    <w:p>
      <w:pPr>
        <w:tabs>
          <w:tab w:val="left" w:pos="1134"/>
        </w:tabs>
        <w:ind w:left="420" w:leftChars="200"/>
        <w:rPr>
          <w:rFonts w:ascii="楷体" w:hAnsi="楷体" w:eastAsia="楷体"/>
          <w:b/>
          <w:sz w:val="28"/>
          <w:szCs w:val="28"/>
        </w:rPr>
      </w:pPr>
      <w:r>
        <w:rPr>
          <w:rFonts w:hint="eastAsia" w:ascii="楷体" w:hAnsi="楷体" w:eastAsia="楷体"/>
          <w:b/>
          <w:sz w:val="28"/>
          <w:szCs w:val="28"/>
        </w:rPr>
        <w:t>十二、产品费用</w:t>
      </w:r>
    </w:p>
    <w:p>
      <w:pPr>
        <w:numPr>
          <w:ilvl w:val="0"/>
          <w:numId w:val="23"/>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费用种类</w:t>
      </w:r>
    </w:p>
    <w:p>
      <w:pPr>
        <w:ind w:firstLine="480" w:firstLineChars="200"/>
        <w:rPr>
          <w:rFonts w:ascii="楷体" w:hAnsi="楷体" w:eastAsia="楷体"/>
          <w:sz w:val="24"/>
          <w:szCs w:val="24"/>
        </w:rPr>
      </w:pPr>
      <w:r>
        <w:rPr>
          <w:rFonts w:hint="eastAsia" w:ascii="楷体" w:hAnsi="楷体" w:eastAsia="楷体"/>
          <w:sz w:val="24"/>
          <w:szCs w:val="24"/>
        </w:rPr>
        <w:t>本产品费用包括托管费、销售服务费、投资管理费和超额业绩报酬（</w:t>
      </w:r>
      <w:r>
        <w:rPr>
          <w:rFonts w:hint="eastAsia" w:ascii="楷体" w:hAnsi="楷体" w:eastAsia="楷体"/>
          <w:sz w:val="24"/>
          <w:szCs w:val="24"/>
          <w:lang w:val="en-US" w:eastAsia="zh-CN"/>
        </w:rPr>
        <w:t>如</w:t>
      </w:r>
      <w:r>
        <w:rPr>
          <w:rFonts w:hint="eastAsia" w:ascii="楷体" w:hAnsi="楷体" w:eastAsia="楷体"/>
          <w:sz w:val="24"/>
          <w:szCs w:val="24"/>
        </w:rPr>
        <w:t>有）以及产品运作和清算中产生的其他费用等。</w:t>
      </w:r>
    </w:p>
    <w:p>
      <w:pPr>
        <w:numPr>
          <w:ilvl w:val="0"/>
          <w:numId w:val="23"/>
        </w:numPr>
        <w:tabs>
          <w:tab w:val="left" w:pos="993"/>
        </w:tabs>
        <w:ind w:left="0" w:firstLine="482" w:firstLineChars="200"/>
        <w:rPr>
          <w:rFonts w:ascii="楷体" w:hAnsi="楷体" w:eastAsia="楷体" w:cs="Calibri"/>
          <w:b/>
          <w:bCs/>
          <w:sz w:val="24"/>
          <w:szCs w:val="24"/>
        </w:rPr>
      </w:pPr>
      <w:r>
        <w:rPr>
          <w:rFonts w:hint="eastAsia" w:ascii="楷体" w:hAnsi="楷体" w:eastAsia="楷体" w:cs="Calibri"/>
          <w:b/>
          <w:bCs/>
          <w:sz w:val="24"/>
          <w:szCs w:val="24"/>
        </w:rPr>
        <w:t>计提方法、计提标准和支付方式</w:t>
      </w:r>
    </w:p>
    <w:p>
      <w:pPr>
        <w:numPr>
          <w:ilvl w:val="0"/>
          <w:numId w:val="24"/>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托管费：本产品的托管费每日计提，按季支付，由托管行收取。计算方法如下：</w:t>
      </w:r>
    </w:p>
    <w:p>
      <w:pPr>
        <w:ind w:firstLine="480" w:firstLineChars="200"/>
        <w:rPr>
          <w:rFonts w:hint="eastAsia" w:ascii="楷体" w:hAnsi="楷体" w:eastAsia="楷体"/>
          <w:sz w:val="24"/>
          <w:szCs w:val="24"/>
        </w:rPr>
      </w:pPr>
      <w:r>
        <w:rPr>
          <w:rFonts w:hint="eastAsia" w:ascii="楷体" w:hAnsi="楷体" w:eastAsia="楷体"/>
          <w:sz w:val="24"/>
          <w:szCs w:val="24"/>
        </w:rPr>
        <w:t>每日应计提的托管费＝前一日的产品资产净值×</w:t>
      </w:r>
      <w:r>
        <w:rPr>
          <w:rFonts w:hint="eastAsia" w:ascii="楷体" w:hAnsi="楷体" w:eastAsia="楷体"/>
          <w:sz w:val="24"/>
          <w:szCs w:val="24"/>
          <w:lang w:val="en-US" w:eastAsia="zh-CN"/>
        </w:rPr>
        <w:t>各份额</w:t>
      </w:r>
      <w:r>
        <w:rPr>
          <w:rFonts w:hint="eastAsia" w:ascii="楷体" w:hAnsi="楷体" w:eastAsia="楷体"/>
          <w:sz w:val="24"/>
          <w:szCs w:val="24"/>
        </w:rPr>
        <w:t>托管费率÷</w:t>
      </w:r>
      <w:r>
        <w:rPr>
          <w:rFonts w:ascii="楷体" w:hAnsi="楷体" w:eastAsia="楷体"/>
          <w:sz w:val="24"/>
          <w:szCs w:val="24"/>
        </w:rPr>
        <w:t>365</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sz w:val="24"/>
          <w:szCs w:val="24"/>
        </w:rPr>
        <w:t>四舍五入保留至小数点后两位</w:t>
      </w:r>
    </w:p>
    <w:p>
      <w:pPr>
        <w:numPr>
          <w:ilvl w:val="0"/>
          <w:numId w:val="24"/>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销售服务费：本产品的销售服务费每日计提，按季支付，由销售机构收取。计算方法如下：</w:t>
      </w:r>
    </w:p>
    <w:p>
      <w:pPr>
        <w:ind w:firstLine="480" w:firstLineChars="200"/>
        <w:rPr>
          <w:rFonts w:hint="eastAsia" w:ascii="楷体" w:hAnsi="楷体" w:eastAsia="楷体"/>
          <w:sz w:val="24"/>
          <w:szCs w:val="24"/>
        </w:rPr>
      </w:pPr>
      <w:r>
        <w:rPr>
          <w:rFonts w:hint="eastAsia" w:ascii="楷体" w:hAnsi="楷体" w:eastAsia="楷体"/>
          <w:sz w:val="24"/>
          <w:szCs w:val="24"/>
        </w:rPr>
        <w:t>每日应计提的销售服务费＝前一日的产品资产净值×</w:t>
      </w:r>
      <w:r>
        <w:rPr>
          <w:rFonts w:hint="eastAsia" w:ascii="楷体" w:hAnsi="楷体" w:eastAsia="楷体"/>
          <w:sz w:val="24"/>
          <w:szCs w:val="24"/>
          <w:lang w:val="en-US" w:eastAsia="zh-CN"/>
        </w:rPr>
        <w:t>各份额</w:t>
      </w:r>
      <w:r>
        <w:rPr>
          <w:rFonts w:hint="eastAsia" w:ascii="楷体" w:hAnsi="楷体" w:eastAsia="楷体"/>
          <w:sz w:val="24"/>
          <w:szCs w:val="24"/>
        </w:rPr>
        <w:t>销售服务费率÷</w:t>
      </w:r>
      <w:r>
        <w:rPr>
          <w:rFonts w:ascii="楷体" w:hAnsi="楷体" w:eastAsia="楷体"/>
          <w:sz w:val="24"/>
          <w:szCs w:val="24"/>
        </w:rPr>
        <w:t>365</w:t>
      </w:r>
    </w:p>
    <w:p>
      <w:pPr>
        <w:ind w:firstLine="480" w:firstLineChars="200"/>
        <w:rPr>
          <w:rFonts w:hint="eastAsia" w:ascii="楷体" w:hAnsi="楷体" w:eastAsia="楷体" w:cs="Calibri"/>
          <w:sz w:val="24"/>
          <w:szCs w:val="24"/>
        </w:rPr>
      </w:pPr>
      <w:r>
        <w:rPr>
          <w:rFonts w:hint="eastAsia" w:ascii="楷体" w:hAnsi="楷体" w:eastAsia="楷体"/>
          <w:sz w:val="24"/>
          <w:szCs w:val="24"/>
        </w:rPr>
        <w:t>四舍五入保留至小数点后两位</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3.</w:t>
      </w:r>
      <w:r>
        <w:rPr>
          <w:rFonts w:hint="eastAsia" w:ascii="楷体" w:hAnsi="楷体" w:eastAsia="楷体" w:cs="Calibri"/>
          <w:sz w:val="24"/>
          <w:szCs w:val="24"/>
        </w:rPr>
        <w:t>投资管理费：本产品的投资管理费每日计提，按</w:t>
      </w:r>
      <w:r>
        <w:rPr>
          <w:rFonts w:hint="eastAsia" w:ascii="楷体" w:hAnsi="楷体" w:eastAsia="楷体" w:cs="Calibri"/>
          <w:sz w:val="24"/>
          <w:szCs w:val="24"/>
          <w:lang w:val="en-US" w:eastAsia="zh-CN"/>
        </w:rPr>
        <w:t>月</w:t>
      </w:r>
      <w:r>
        <w:rPr>
          <w:rFonts w:hint="eastAsia" w:ascii="楷体" w:hAnsi="楷体" w:eastAsia="楷体" w:cs="Calibri"/>
          <w:sz w:val="24"/>
          <w:szCs w:val="24"/>
        </w:rPr>
        <w:t>支付，由管理人收取。计算方法如下：</w:t>
      </w:r>
    </w:p>
    <w:p>
      <w:pPr>
        <w:ind w:firstLine="480" w:firstLineChars="200"/>
        <w:rPr>
          <w:rFonts w:hint="eastAsia" w:ascii="楷体" w:hAnsi="楷体" w:eastAsia="楷体"/>
          <w:sz w:val="24"/>
          <w:szCs w:val="24"/>
        </w:rPr>
      </w:pPr>
      <w:r>
        <w:rPr>
          <w:rFonts w:hint="eastAsia" w:ascii="楷体" w:hAnsi="楷体" w:eastAsia="楷体"/>
          <w:sz w:val="24"/>
          <w:szCs w:val="24"/>
        </w:rPr>
        <w:t>每日应计提的投资管理费＝前一日的产品资产净值×</w:t>
      </w:r>
      <w:r>
        <w:rPr>
          <w:rFonts w:hint="eastAsia" w:ascii="楷体" w:hAnsi="楷体" w:eastAsia="楷体"/>
          <w:sz w:val="24"/>
          <w:szCs w:val="24"/>
          <w:lang w:val="en-US" w:eastAsia="zh-CN"/>
        </w:rPr>
        <w:t>各份额</w:t>
      </w:r>
      <w:r>
        <w:rPr>
          <w:rFonts w:hint="eastAsia" w:ascii="楷体" w:hAnsi="楷体" w:eastAsia="楷体"/>
          <w:sz w:val="24"/>
          <w:szCs w:val="24"/>
        </w:rPr>
        <w:t>投资管理费率÷</w:t>
      </w:r>
      <w:r>
        <w:rPr>
          <w:rFonts w:ascii="楷体" w:hAnsi="楷体" w:eastAsia="楷体"/>
          <w:sz w:val="24"/>
          <w:szCs w:val="24"/>
        </w:rPr>
        <w:t>365</w:t>
      </w:r>
    </w:p>
    <w:p>
      <w:pPr>
        <w:ind w:firstLine="480" w:firstLineChars="200"/>
        <w:rPr>
          <w:rFonts w:ascii="楷体" w:hAnsi="楷体" w:eastAsia="楷体"/>
          <w:sz w:val="24"/>
          <w:szCs w:val="24"/>
        </w:rPr>
      </w:pPr>
      <w:r>
        <w:rPr>
          <w:rFonts w:hint="eastAsia" w:ascii="楷体" w:hAnsi="楷体" w:eastAsia="楷体"/>
          <w:sz w:val="24"/>
          <w:szCs w:val="24"/>
        </w:rPr>
        <w:t>四舍五入保留至小数点后两位</w:t>
      </w:r>
    </w:p>
    <w:p>
      <w:pPr>
        <w:tabs>
          <w:tab w:val="left" w:pos="728"/>
        </w:tabs>
        <w:ind w:firstLine="480" w:firstLineChars="200"/>
        <w:rPr>
          <w:rFonts w:hint="eastAsia" w:ascii="楷体" w:hAnsi="楷体" w:eastAsia="楷体"/>
          <w:sz w:val="24"/>
          <w:szCs w:val="24"/>
        </w:rPr>
      </w:pPr>
      <w:r>
        <w:rPr>
          <w:rFonts w:hint="eastAsia" w:ascii="楷体" w:hAnsi="楷体" w:eastAsia="楷体"/>
          <w:sz w:val="24"/>
          <w:szCs w:val="24"/>
        </w:rPr>
        <w:t>4.</w:t>
      </w:r>
      <w:r>
        <w:rPr>
          <w:rFonts w:hint="eastAsia" w:ascii="楷体" w:hAnsi="楷体" w:eastAsia="楷体" w:cs="Calibri"/>
          <w:sz w:val="24"/>
          <w:szCs w:val="24"/>
        </w:rPr>
        <w:t>超额业绩报酬</w:t>
      </w:r>
      <w:r>
        <w:rPr>
          <w:rFonts w:hint="eastAsia" w:ascii="楷体" w:hAnsi="楷体" w:eastAsia="楷体"/>
          <w:sz w:val="24"/>
          <w:szCs w:val="24"/>
        </w:rPr>
        <w:t>：客户份额持有期间净值增长率为r，依据份额确认时产品单位净值、份额赎回时产品单位净值、客户份额实际运作天数折算为年化收益率（1年按365天计算）。若r低于业绩比较基准下限，管理人不收取超额业绩报酬；若【业绩比较基准下限</w:t>
      </w:r>
      <w:r>
        <w:rPr>
          <w:rFonts w:hint="eastAsia" w:ascii="楷体" w:hAnsi="楷体" w:eastAsia="楷体"/>
          <w:sz w:val="24"/>
          <w:szCs w:val="24"/>
          <w:lang w:val="en-US" w:eastAsia="zh-CN"/>
        </w:rPr>
        <w:t>≤</w:t>
      </w:r>
      <w:r>
        <w:rPr>
          <w:rFonts w:hint="eastAsia" w:ascii="楷体" w:hAnsi="楷体" w:eastAsia="楷体"/>
          <w:sz w:val="24"/>
          <w:szCs w:val="24"/>
        </w:rPr>
        <w:t>r&lt;业绩比较基准下限+（业绩比较基准上限-业绩比较基准下限）*50%】，管理人对超出业绩比较基准下限的部分收取30%的超额业绩报酬；若【r</w:t>
      </w:r>
      <w:r>
        <w:rPr>
          <w:rFonts w:hint="eastAsia" w:ascii="楷体" w:hAnsi="楷体" w:eastAsia="楷体"/>
          <w:sz w:val="24"/>
          <w:szCs w:val="24"/>
          <w:lang w:val="en-US" w:eastAsia="zh-CN"/>
        </w:rPr>
        <w:t>≥</w:t>
      </w:r>
      <w:r>
        <w:rPr>
          <w:rFonts w:hint="eastAsia" w:ascii="楷体" w:hAnsi="楷体" w:eastAsia="楷体"/>
          <w:sz w:val="24"/>
          <w:szCs w:val="24"/>
        </w:rPr>
        <w:t>业绩比较基准下限+（业绩比较基准上限-业绩比较基准下限）*50%】，管理人对超出业绩比较基准下限的部分收取30%的超额业绩报酬，并对超出【业绩比较基准下限+（业绩比较基准上限-业绩比较基准下限）*50%】的部分收取50%的超额业绩报酬。</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6.</w:t>
      </w:r>
      <w:r>
        <w:rPr>
          <w:rFonts w:hint="eastAsia" w:ascii="楷体" w:hAnsi="楷体" w:eastAsia="楷体" w:cs="Calibri"/>
          <w:sz w:val="24"/>
          <w:szCs w:val="24"/>
        </w:rPr>
        <w:t>产品运作和清算中产生的交易手续费、注册登记费、账户服务费、审计费、及其他应由本产品承担的费用，按照实际发生时从产品中列支。</w:t>
      </w:r>
    </w:p>
    <w:p>
      <w:pPr>
        <w:ind w:firstLine="480" w:firstLineChars="200"/>
        <w:rPr>
          <w:rFonts w:ascii="楷体" w:hAnsi="楷体" w:eastAsia="楷体"/>
          <w:sz w:val="24"/>
          <w:szCs w:val="24"/>
        </w:rPr>
      </w:pPr>
      <w:r>
        <w:rPr>
          <w:rFonts w:hint="eastAsia" w:ascii="楷体" w:hAnsi="楷体" w:eastAsia="楷体"/>
          <w:sz w:val="24"/>
          <w:szCs w:val="24"/>
        </w:rPr>
        <w:t>产品管理人有权根据市场情况等调整上述各项费用费率和超额业绩报酬收取方式及比例，并至少于调整日之前2个工作日进行公告。</w:t>
      </w:r>
      <w:r>
        <w:rPr>
          <w:rFonts w:hint="eastAsia" w:ascii="楷体" w:hAnsi="楷体" w:eastAsia="楷体"/>
          <w:sz w:val="24"/>
          <w:szCs w:val="24"/>
          <w:lang w:eastAsia="zh-CN"/>
        </w:rPr>
        <w:t>产品管理人将通过短信及苏银理财有限责任公司官方网站（www.suyinwealth.com）、销售机构电子渠道和营业网点等方式进行信息披露</w:t>
      </w:r>
      <w:r>
        <w:rPr>
          <w:rFonts w:hint="eastAsia" w:ascii="楷体" w:hAnsi="楷体" w:eastAsia="楷体"/>
          <w:sz w:val="24"/>
          <w:szCs w:val="24"/>
        </w:rPr>
        <w:t>。如投资者不接受的，可在公告约定的期限内赎回本产品，此种情况下产品管理人将可能开放特殊赎回期间，具体以届时产品管理人公告为准；如投资者未赎回本产品，则视为本理财产品投资者对相关调整无异议且同意在调整后继续持有本理财产品。本产品不收取认购费用、申购费用、赎回费用。</w:t>
      </w:r>
    </w:p>
    <w:p>
      <w:pPr>
        <w:tabs>
          <w:tab w:val="left" w:pos="1134"/>
        </w:tabs>
        <w:ind w:left="420" w:leftChars="200"/>
        <w:rPr>
          <w:rFonts w:ascii="楷体" w:hAnsi="楷体" w:eastAsia="楷体"/>
          <w:b/>
          <w:sz w:val="28"/>
          <w:szCs w:val="28"/>
        </w:rPr>
      </w:pPr>
      <w:r>
        <w:rPr>
          <w:rFonts w:hint="eastAsia" w:ascii="楷体" w:hAnsi="楷体" w:eastAsia="楷体"/>
          <w:b/>
          <w:sz w:val="28"/>
          <w:szCs w:val="28"/>
        </w:rPr>
        <w:t>十三、税收规定</w:t>
      </w:r>
    </w:p>
    <w:p>
      <w:pPr>
        <w:ind w:firstLine="480" w:firstLineChars="200"/>
        <w:rPr>
          <w:rFonts w:ascii="楷体" w:hAnsi="楷体" w:eastAsia="楷体"/>
          <w:sz w:val="24"/>
          <w:szCs w:val="24"/>
        </w:rPr>
      </w:pPr>
      <w:r>
        <w:rPr>
          <w:rFonts w:hint="eastAsia" w:ascii="楷体" w:hAnsi="楷体" w:eastAsia="楷体"/>
          <w:sz w:val="24"/>
          <w:szCs w:val="24"/>
        </w:rPr>
        <w:t>根据中国增值税等税收相关法律法规、税收政策等要求，本理财产品运营过程中发生的增值税应税行为，以理财产品管理人为纳税人。签约各方同意本理财产品在运营过程应缴纳的增值税及附加税费（包括但不限于城市维护建设税、教育费附加及地方教育附加等）由管理人从理财产品财产中支付，应缴纳增值税的原因包括但不限于投资者从理财产品中获取的收益被政府机关认定为应缴纳部分、投资者转让未到期理财产品等，并由管理人根据中国税务机关要求，履行相关纳税申报义务，由此可能会使理财产品净值或实际收益降低，请投资者知悉。</w:t>
      </w:r>
      <w:r>
        <w:rPr>
          <w:rFonts w:hint="eastAsia" w:ascii="楷体" w:hAnsi="楷体" w:eastAsia="楷体"/>
          <w:b/>
          <w:sz w:val="24"/>
          <w:szCs w:val="24"/>
          <w:u w:val="single"/>
        </w:rPr>
        <w:t>投资者从理财产品取得的收益应缴纳的税款，由投资者自行申报及缴纳。</w:t>
      </w:r>
    </w:p>
    <w:p>
      <w:pPr>
        <w:tabs>
          <w:tab w:val="left" w:pos="1134"/>
        </w:tabs>
        <w:ind w:left="420" w:leftChars="200"/>
        <w:rPr>
          <w:rFonts w:hint="eastAsia" w:ascii="楷体" w:hAnsi="楷体" w:eastAsia="楷体"/>
          <w:b/>
          <w:sz w:val="28"/>
          <w:szCs w:val="28"/>
          <w:lang w:val="en-US" w:eastAsia="zh-CN"/>
        </w:rPr>
      </w:pPr>
      <w:r>
        <w:rPr>
          <w:rFonts w:hint="eastAsia" w:ascii="楷体" w:hAnsi="楷体" w:eastAsia="楷体"/>
          <w:b/>
          <w:sz w:val="28"/>
          <w:szCs w:val="28"/>
        </w:rPr>
        <w:t>十四、产品托管</w:t>
      </w:r>
      <w:r>
        <w:rPr>
          <w:rFonts w:hint="eastAsia" w:ascii="楷体" w:hAnsi="楷体" w:eastAsia="楷体"/>
          <w:b/>
          <w:sz w:val="28"/>
          <w:szCs w:val="28"/>
          <w:lang w:val="en-US" w:eastAsia="zh-CN"/>
        </w:rPr>
        <w:t>人</w:t>
      </w:r>
    </w:p>
    <w:p>
      <w:pPr>
        <w:numPr>
          <w:ilvl w:val="0"/>
          <w:numId w:val="25"/>
        </w:numPr>
        <w:tabs>
          <w:tab w:val="left" w:pos="993"/>
        </w:tabs>
        <w:ind w:left="0" w:firstLine="480" w:firstLineChars="200"/>
        <w:rPr>
          <w:rFonts w:ascii="楷体" w:hAnsi="楷体" w:eastAsia="楷体" w:cs="Calibri"/>
          <w:sz w:val="24"/>
          <w:szCs w:val="24"/>
        </w:rPr>
      </w:pPr>
      <w:r>
        <w:rPr>
          <w:rFonts w:hint="eastAsia" w:ascii="楷体" w:hAnsi="楷体" w:eastAsia="楷体" w:cs="Calibri"/>
          <w:sz w:val="24"/>
          <w:szCs w:val="24"/>
        </w:rPr>
        <w:t>托管人</w:t>
      </w:r>
    </w:p>
    <w:p>
      <w:pPr>
        <w:ind w:firstLine="480" w:firstLineChars="200"/>
        <w:rPr>
          <w:rFonts w:ascii="楷体" w:hAnsi="楷体" w:eastAsia="楷体"/>
          <w:sz w:val="24"/>
          <w:szCs w:val="24"/>
        </w:rPr>
      </w:pPr>
      <w:r>
        <w:rPr>
          <w:rFonts w:hint="eastAsia" w:ascii="楷体" w:hAnsi="楷体" w:eastAsia="楷体"/>
          <w:sz w:val="24"/>
          <w:szCs w:val="24"/>
        </w:rPr>
        <w:t>本产品托管人为江苏银行股份有限公司。产品管理人在此特别披露</w:t>
      </w:r>
      <w:r>
        <w:rPr>
          <w:rFonts w:ascii="楷体" w:hAnsi="楷体" w:eastAsia="楷体"/>
          <w:sz w:val="24"/>
          <w:szCs w:val="24"/>
        </w:rPr>
        <w:t>：</w:t>
      </w:r>
      <w:r>
        <w:rPr>
          <w:rFonts w:hint="eastAsia" w:ascii="楷体" w:hAnsi="楷体" w:eastAsia="楷体"/>
          <w:sz w:val="24"/>
          <w:szCs w:val="24"/>
        </w:rPr>
        <w:t>托管人为产品管理人的关联方</w:t>
      </w:r>
      <w:r>
        <w:rPr>
          <w:rFonts w:ascii="楷体" w:hAnsi="楷体" w:eastAsia="楷体"/>
          <w:sz w:val="24"/>
          <w:szCs w:val="24"/>
        </w:rPr>
        <w:t>，</w:t>
      </w:r>
      <w:r>
        <w:rPr>
          <w:rFonts w:hint="eastAsia" w:ascii="楷体" w:hAnsi="楷体" w:eastAsia="楷体"/>
          <w:sz w:val="24"/>
          <w:szCs w:val="24"/>
        </w:rPr>
        <w:t>产品管理人聘请其担任托管人已履行现行法律法规和监管规定所规定必须履行的程序</w:t>
      </w:r>
      <w:r>
        <w:rPr>
          <w:rFonts w:ascii="楷体" w:hAnsi="楷体" w:eastAsia="楷体"/>
          <w:sz w:val="24"/>
          <w:szCs w:val="24"/>
        </w:rPr>
        <w:t>，</w:t>
      </w:r>
      <w:r>
        <w:rPr>
          <w:rFonts w:hint="eastAsia" w:ascii="楷体" w:hAnsi="楷体" w:eastAsia="楷体"/>
          <w:sz w:val="24"/>
          <w:szCs w:val="24"/>
        </w:rPr>
        <w:t>产品管理人、投资者同意并接受理财产品由托管人托管。</w:t>
      </w:r>
    </w:p>
    <w:p>
      <w:pPr>
        <w:numPr>
          <w:ilvl w:val="0"/>
          <w:numId w:val="25"/>
        </w:numPr>
        <w:tabs>
          <w:tab w:val="left" w:pos="993"/>
        </w:tabs>
        <w:ind w:left="0" w:firstLine="480" w:firstLineChars="200"/>
        <w:rPr>
          <w:rFonts w:ascii="楷体" w:hAnsi="楷体" w:eastAsia="楷体" w:cs="Calibri"/>
          <w:sz w:val="24"/>
          <w:szCs w:val="24"/>
        </w:rPr>
      </w:pPr>
      <w:r>
        <w:rPr>
          <w:rFonts w:hint="eastAsia" w:ascii="楷体" w:hAnsi="楷体" w:eastAsia="楷体" w:cs="Calibri"/>
          <w:sz w:val="24"/>
          <w:szCs w:val="24"/>
        </w:rPr>
        <w:t>托管人职责</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安全保管理财产品财产；</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为理财产品开立银行托管账户、证券账户等；</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确认与执行理财产品资金划拨指令，办理理财产品资金的收付，核对理财产品资金划拨记录；</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建立与理财产品管理人的对账机制，复核理财产品资产净值、理财产品份额申购、赎回价格，及时核查投资资金的支付和到账情况；</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监督理财产品投资运作；</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办理与理财产品托管业务活动相关的信息披露事项；</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保存理财产品托管业务活动的记录、账册、报表和其他相关材料；</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对理财产品投资信息和相关资料承担保密责任；</w:t>
      </w:r>
    </w:p>
    <w:p>
      <w:pPr>
        <w:numPr>
          <w:ilvl w:val="0"/>
          <w:numId w:val="26"/>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国务院银行业监督管理机构规定的其他职责。</w:t>
      </w:r>
    </w:p>
    <w:p>
      <w:pPr>
        <w:tabs>
          <w:tab w:val="left" w:pos="1134"/>
        </w:tabs>
        <w:ind w:left="420" w:leftChars="200"/>
        <w:rPr>
          <w:rFonts w:ascii="楷体" w:hAnsi="楷体" w:eastAsia="楷体"/>
          <w:b/>
          <w:sz w:val="28"/>
          <w:szCs w:val="28"/>
        </w:rPr>
      </w:pPr>
      <w:r>
        <w:rPr>
          <w:rFonts w:hint="eastAsia" w:ascii="楷体" w:hAnsi="楷体" w:eastAsia="楷体"/>
          <w:b/>
          <w:sz w:val="28"/>
          <w:szCs w:val="28"/>
        </w:rPr>
        <w:t>十五、信息披露</w:t>
      </w:r>
    </w:p>
    <w:p>
      <w:pPr>
        <w:numPr>
          <w:ilvl w:val="0"/>
          <w:numId w:val="27"/>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信息披露内容</w:t>
      </w:r>
    </w:p>
    <w:p>
      <w:pPr>
        <w:numPr>
          <w:ilvl w:val="0"/>
          <w:numId w:val="28"/>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产品类型、募集信息、产品净值、产品规模、托管安排、投资账户信息；</w:t>
      </w:r>
    </w:p>
    <w:p>
      <w:pPr>
        <w:numPr>
          <w:ilvl w:val="0"/>
          <w:numId w:val="28"/>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产品投向、投资比例、持仓情况、杠杆水平以及主要投资风险；</w:t>
      </w:r>
    </w:p>
    <w:p>
      <w:pPr>
        <w:numPr>
          <w:ilvl w:val="0"/>
          <w:numId w:val="28"/>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产品收益分配、各项费用情况；</w:t>
      </w:r>
    </w:p>
    <w:p>
      <w:pPr>
        <w:numPr>
          <w:ilvl w:val="0"/>
          <w:numId w:val="28"/>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产品涉及关联交易；</w:t>
      </w:r>
    </w:p>
    <w:p>
      <w:pPr>
        <w:numPr>
          <w:ilvl w:val="0"/>
          <w:numId w:val="28"/>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其他影响本产品投资运作的重大事项、临时性信息披露等。</w:t>
      </w:r>
    </w:p>
    <w:p>
      <w:pPr>
        <w:numPr>
          <w:ilvl w:val="0"/>
          <w:numId w:val="27"/>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信息披露频率</w:t>
      </w:r>
    </w:p>
    <w:p>
      <w:pPr>
        <w:numPr>
          <w:ilvl w:val="0"/>
          <w:numId w:val="29"/>
        </w:numPr>
        <w:tabs>
          <w:tab w:val="left" w:pos="728"/>
        </w:tabs>
        <w:ind w:left="0" w:firstLine="480" w:firstLineChars="200"/>
        <w:rPr>
          <w:rFonts w:ascii="楷体" w:hAnsi="楷体" w:eastAsia="楷体" w:cs="Calibri"/>
          <w:sz w:val="24"/>
          <w:szCs w:val="24"/>
        </w:rPr>
      </w:pPr>
      <w:r>
        <w:rPr>
          <w:rFonts w:hint="eastAsia" w:ascii="楷体" w:hAnsi="楷体" w:eastAsia="楷体" w:cs="Calibri"/>
          <w:sz w:val="24"/>
          <w:szCs w:val="24"/>
        </w:rPr>
        <w:t>发行公告：管理人在产品成立后5个工作日内，披露产品成立公告，内容包括理财产品成立日期和募集规模等信息。</w:t>
      </w:r>
    </w:p>
    <w:p>
      <w:pPr>
        <w:numPr>
          <w:ilvl w:val="0"/>
          <w:numId w:val="2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定期公告：管理人在每个季度结束之日起15个工作日内、上半年结束之日起60个工作日内、每年结束之日起90个工作日内，披露产品季度、半年和年度报告等定期报告；产品成立不足90个工作日或者剩余存续期不超过90个工作日的，管理人将不编制产品当期的季度、半年和年度报告；内容包括理财产品的存续规模、收益表现，并分别列示直接和间接投资的资产种类、投资比例、投资组合的流动性风险分析，以及前十项资产具体名称、规模和比例等信息。</w:t>
      </w:r>
    </w:p>
    <w:p>
      <w:pPr>
        <w:numPr>
          <w:ilvl w:val="0"/>
          <w:numId w:val="29"/>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到期公告：管理人在产品终止后5个工作日内，披露产品到期公告，内容包括理财产品的存续期限、终止日期、收费情况和收益分配情况等信息。</w:t>
      </w:r>
    </w:p>
    <w:p>
      <w:pPr>
        <w:numPr>
          <w:ilvl w:val="0"/>
          <w:numId w:val="0"/>
        </w:numPr>
        <w:tabs>
          <w:tab w:val="left" w:pos="728"/>
        </w:tabs>
        <w:ind w:firstLine="480" w:firstLineChars="200"/>
        <w:rPr>
          <w:rFonts w:ascii="楷体" w:hAnsi="楷体" w:eastAsia="楷体" w:cs="Calibri"/>
          <w:sz w:val="24"/>
          <w:szCs w:val="24"/>
        </w:rPr>
      </w:pPr>
      <w:r>
        <w:rPr>
          <w:rFonts w:hint="eastAsia" w:ascii="楷体" w:hAnsi="楷体" w:eastAsia="楷体" w:cs="Calibri"/>
          <w:sz w:val="24"/>
          <w:szCs w:val="24"/>
          <w:lang w:val="en-US" w:eastAsia="zh-CN"/>
        </w:rPr>
        <w:t>4.</w:t>
      </w:r>
      <w:r>
        <w:rPr>
          <w:rFonts w:hint="eastAsia" w:ascii="楷体" w:hAnsi="楷体" w:eastAsia="楷体" w:cs="Calibri"/>
          <w:sz w:val="24"/>
          <w:szCs w:val="24"/>
        </w:rPr>
        <w:t>重大事项公告：管理人在发生可能对理财产品投资者或者理财产品收益产生重大事项的事件后2个工作日内发布重大事项公告。</w:t>
      </w:r>
    </w:p>
    <w:p>
      <w:pPr>
        <w:numPr>
          <w:ilvl w:val="0"/>
          <w:numId w:val="0"/>
        </w:numPr>
        <w:tabs>
          <w:tab w:val="left" w:pos="728"/>
        </w:tabs>
        <w:ind w:firstLine="480" w:firstLineChars="200"/>
        <w:rPr>
          <w:rFonts w:ascii="楷体" w:hAnsi="楷体" w:eastAsia="楷体" w:cs="Calibri"/>
          <w:sz w:val="24"/>
          <w:szCs w:val="24"/>
        </w:rPr>
      </w:pPr>
      <w:r>
        <w:rPr>
          <w:rFonts w:hint="eastAsia" w:ascii="楷体" w:hAnsi="楷体" w:eastAsia="楷体" w:cs="Calibri"/>
          <w:sz w:val="24"/>
          <w:szCs w:val="24"/>
          <w:lang w:val="en-US" w:eastAsia="zh-CN"/>
        </w:rPr>
        <w:t>5.</w:t>
      </w:r>
      <w:r>
        <w:rPr>
          <w:rFonts w:hint="eastAsia" w:ascii="楷体" w:hAnsi="楷体" w:eastAsia="楷体" w:cs="Calibri"/>
          <w:sz w:val="24"/>
          <w:szCs w:val="24"/>
        </w:rPr>
        <w:t>产品净值披露：本产品存续期内每周按说明书约定方式披露单位净值，每个开放日结束后2个工作日内通过本理财产品说明书约定方式披露上一投资周期终止日的单位净值、份额累计净值、认</w:t>
      </w:r>
      <w:r>
        <w:rPr>
          <w:rFonts w:hint="eastAsia" w:ascii="楷体" w:hAnsi="楷体" w:eastAsia="楷体" w:cs="Calibri"/>
          <w:sz w:val="24"/>
          <w:szCs w:val="24"/>
          <w:lang w:val="en-US" w:eastAsia="zh-CN"/>
        </w:rPr>
        <w:t>/申</w:t>
      </w:r>
      <w:r>
        <w:rPr>
          <w:rFonts w:hint="eastAsia" w:ascii="楷体" w:hAnsi="楷体" w:eastAsia="楷体" w:cs="Calibri"/>
          <w:sz w:val="24"/>
          <w:szCs w:val="24"/>
        </w:rPr>
        <w:t>购价格和赎回价格。</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6.</w:t>
      </w:r>
      <w:r>
        <w:rPr>
          <w:rFonts w:hint="eastAsia" w:ascii="楷体" w:hAnsi="楷体" w:eastAsia="楷体" w:cs="Calibri"/>
          <w:sz w:val="24"/>
          <w:szCs w:val="24"/>
        </w:rPr>
        <w:t>临时性信息披露：管理人将及时披露国务院银行业监督管理机构规定的其他信息或除重大事项事件以外的其他信息。</w:t>
      </w:r>
    </w:p>
    <w:p>
      <w:pPr>
        <w:numPr>
          <w:ilvl w:val="0"/>
          <w:numId w:val="0"/>
        </w:numPr>
        <w:tabs>
          <w:tab w:val="left" w:pos="728"/>
        </w:tabs>
        <w:ind w:firstLine="480" w:firstLineChars="200"/>
        <w:rPr>
          <w:rFonts w:hint="eastAsia" w:ascii="楷体" w:hAnsi="楷体" w:eastAsia="楷体" w:cs="Calibri"/>
          <w:sz w:val="24"/>
          <w:szCs w:val="24"/>
        </w:rPr>
      </w:pPr>
      <w:r>
        <w:rPr>
          <w:rFonts w:hint="eastAsia" w:ascii="楷体" w:hAnsi="楷体" w:eastAsia="楷体" w:cs="Calibri"/>
          <w:sz w:val="24"/>
          <w:szCs w:val="24"/>
          <w:lang w:val="en-US" w:eastAsia="zh-CN"/>
        </w:rPr>
        <w:t>7.</w:t>
      </w:r>
      <w:r>
        <w:rPr>
          <w:rFonts w:hint="eastAsia" w:ascii="楷体" w:hAnsi="楷体" w:eastAsia="楷体" w:cs="Calibri"/>
          <w:sz w:val="24"/>
          <w:szCs w:val="24"/>
        </w:rPr>
        <w:t>半年度整体报告：每半年披露从事理财业务活动的有关信息。</w:t>
      </w:r>
    </w:p>
    <w:p>
      <w:pPr>
        <w:numPr>
          <w:ilvl w:val="0"/>
          <w:numId w:val="0"/>
        </w:numPr>
        <w:tabs>
          <w:tab w:val="left" w:pos="728"/>
        </w:tabs>
        <w:ind w:firstLine="480" w:firstLineChars="200"/>
        <w:rPr>
          <w:rFonts w:ascii="楷体" w:hAnsi="楷体" w:eastAsia="楷体" w:cs="Calibri"/>
          <w:sz w:val="24"/>
          <w:szCs w:val="24"/>
        </w:rPr>
      </w:pPr>
      <w:r>
        <w:rPr>
          <w:rFonts w:hint="eastAsia" w:ascii="楷体" w:hAnsi="楷体" w:eastAsia="楷体" w:cs="Calibri"/>
          <w:sz w:val="24"/>
          <w:szCs w:val="24"/>
          <w:lang w:val="en-US" w:eastAsia="zh-CN"/>
        </w:rPr>
        <w:t>8.</w:t>
      </w:r>
      <w:r>
        <w:rPr>
          <w:rFonts w:hint="eastAsia" w:ascii="楷体" w:hAnsi="楷体" w:eastAsia="楷体" w:cs="Calibri"/>
          <w:sz w:val="24"/>
          <w:szCs w:val="24"/>
        </w:rPr>
        <w:t>理财账单：管理人每月向投资者提供其所持有的理财产品账单，账单内容包括但不限于投资者持有的理财产品份额、认购金额、</w:t>
      </w:r>
      <w:r>
        <w:rPr>
          <w:rFonts w:hint="eastAsia" w:ascii="楷体" w:hAnsi="楷体" w:eastAsia="楷体" w:cs="Calibri"/>
          <w:sz w:val="24"/>
          <w:szCs w:val="24"/>
          <w:lang w:val="en-US" w:eastAsia="zh-CN"/>
        </w:rPr>
        <w:t>份额单位</w:t>
      </w:r>
      <w:r>
        <w:rPr>
          <w:rFonts w:hint="eastAsia" w:ascii="楷体" w:hAnsi="楷体" w:eastAsia="楷体" w:cs="Calibri"/>
          <w:sz w:val="24"/>
          <w:szCs w:val="24"/>
        </w:rPr>
        <w:t>净值、份额累计净值、资产净值、收益情况、投资者理财交易账户发生的交易明细记录等信息。</w:t>
      </w:r>
    </w:p>
    <w:p>
      <w:pPr>
        <w:numPr>
          <w:ilvl w:val="0"/>
          <w:numId w:val="0"/>
        </w:numPr>
        <w:tabs>
          <w:tab w:val="left" w:pos="993"/>
        </w:tabs>
        <w:ind w:leftChars="200"/>
        <w:rPr>
          <w:rFonts w:ascii="楷体" w:hAnsi="楷体" w:eastAsia="楷体" w:cs="Calibri"/>
          <w:b/>
          <w:bCs/>
          <w:sz w:val="24"/>
          <w:szCs w:val="24"/>
        </w:rPr>
      </w:pPr>
      <w:r>
        <w:rPr>
          <w:rFonts w:hint="eastAsia" w:ascii="楷体" w:hAnsi="楷体" w:eastAsia="楷体" w:cs="Calibri"/>
          <w:b/>
          <w:bCs/>
          <w:sz w:val="24"/>
          <w:szCs w:val="24"/>
          <w:lang w:eastAsia="zh-CN"/>
        </w:rPr>
        <w:t>（</w:t>
      </w:r>
      <w:r>
        <w:rPr>
          <w:rFonts w:hint="eastAsia" w:ascii="楷体" w:hAnsi="楷体" w:eastAsia="楷体" w:cs="Calibri"/>
          <w:b/>
          <w:bCs/>
          <w:sz w:val="24"/>
          <w:szCs w:val="24"/>
          <w:lang w:val="en-US" w:eastAsia="zh-CN"/>
        </w:rPr>
        <w:t>三</w:t>
      </w:r>
      <w:r>
        <w:rPr>
          <w:rFonts w:hint="eastAsia" w:ascii="楷体" w:hAnsi="楷体" w:eastAsia="楷体" w:cs="Calibri"/>
          <w:b/>
          <w:bCs/>
          <w:sz w:val="24"/>
          <w:szCs w:val="24"/>
          <w:lang w:eastAsia="zh-CN"/>
        </w:rPr>
        <w:t>）</w:t>
      </w:r>
      <w:r>
        <w:rPr>
          <w:rFonts w:hint="eastAsia" w:ascii="楷体" w:hAnsi="楷体" w:eastAsia="楷体" w:cs="Calibri"/>
          <w:b/>
          <w:bCs/>
          <w:sz w:val="24"/>
          <w:szCs w:val="24"/>
        </w:rPr>
        <w:t>信息披露方式</w:t>
      </w:r>
    </w:p>
    <w:p>
      <w:pPr>
        <w:ind w:firstLine="480" w:firstLineChars="200"/>
        <w:rPr>
          <w:rFonts w:hint="eastAsia" w:ascii="楷体" w:hAnsi="楷体" w:eastAsia="楷体"/>
          <w:sz w:val="24"/>
          <w:szCs w:val="24"/>
        </w:rPr>
      </w:pPr>
      <w:r>
        <w:rPr>
          <w:rFonts w:hint="eastAsia" w:ascii="楷体" w:hAnsi="楷体" w:eastAsia="楷体"/>
          <w:sz w:val="24"/>
          <w:szCs w:val="24"/>
        </w:rPr>
        <w:t>由苏银理财按监管要求和说明书的约定，同时通过以下方式向投资者进行信息披露，披露方式包括：</w:t>
      </w:r>
    </w:p>
    <w:p>
      <w:pPr>
        <w:numPr>
          <w:ilvl w:val="0"/>
          <w:numId w:val="30"/>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苏银理财通过苏银理财有限责任公司官方网站（</w:t>
      </w:r>
      <w:r>
        <w:rPr>
          <w:rFonts w:ascii="楷体" w:hAnsi="楷体" w:eastAsia="楷体" w:cs="Calibri"/>
          <w:sz w:val="24"/>
          <w:szCs w:val="24"/>
        </w:rPr>
        <w:t>www.suyinwealth.com</w:t>
      </w:r>
      <w:r>
        <w:rPr>
          <w:rFonts w:hint="eastAsia" w:ascii="楷体" w:hAnsi="楷体" w:eastAsia="楷体" w:cs="Calibri"/>
          <w:sz w:val="24"/>
          <w:szCs w:val="24"/>
        </w:rPr>
        <w:t>）进行信息披露。</w:t>
      </w:r>
    </w:p>
    <w:p>
      <w:pPr>
        <w:numPr>
          <w:ilvl w:val="0"/>
          <w:numId w:val="30"/>
        </w:numPr>
        <w:tabs>
          <w:tab w:val="left" w:pos="728"/>
        </w:tabs>
        <w:ind w:left="0" w:firstLine="480" w:firstLineChars="200"/>
        <w:rPr>
          <w:rFonts w:hint="eastAsia" w:ascii="楷体" w:hAnsi="楷体" w:eastAsia="楷体" w:cs="Calibri"/>
          <w:sz w:val="24"/>
          <w:szCs w:val="24"/>
        </w:rPr>
      </w:pPr>
      <w:r>
        <w:rPr>
          <w:rFonts w:hint="eastAsia" w:ascii="楷体" w:hAnsi="楷体" w:eastAsia="楷体" w:cs="Calibri"/>
          <w:sz w:val="24"/>
          <w:szCs w:val="24"/>
        </w:rPr>
        <w:t>苏银理财将信息披露内容发送销售机构，由销售机构通过</w:t>
      </w:r>
      <w:r>
        <w:rPr>
          <w:rFonts w:hint="eastAsia" w:ascii="楷体" w:hAnsi="楷体" w:eastAsia="楷体" w:cs="Calibri"/>
          <w:sz w:val="24"/>
          <w:szCs w:val="24"/>
          <w:lang w:val="en-US" w:eastAsia="zh-CN"/>
        </w:rPr>
        <w:t>短信及</w:t>
      </w:r>
      <w:r>
        <w:rPr>
          <w:rFonts w:hint="eastAsia" w:ascii="楷体" w:hAnsi="楷体" w:eastAsia="楷体" w:cs="Calibri"/>
          <w:sz w:val="24"/>
          <w:szCs w:val="24"/>
        </w:rPr>
        <w:t>销售机构电子渠道和营业网点</w:t>
      </w:r>
      <w:r>
        <w:rPr>
          <w:rFonts w:hint="eastAsia" w:ascii="楷体" w:hAnsi="楷体" w:eastAsia="楷体" w:cs="Calibri"/>
          <w:sz w:val="24"/>
          <w:szCs w:val="24"/>
          <w:lang w:val="en-US" w:eastAsia="zh-CN"/>
        </w:rPr>
        <w:t>等方式</w:t>
      </w:r>
      <w:r>
        <w:rPr>
          <w:rFonts w:hint="eastAsia" w:ascii="楷体" w:hAnsi="楷体" w:eastAsia="楷体" w:cs="Calibri"/>
          <w:sz w:val="24"/>
          <w:szCs w:val="24"/>
        </w:rPr>
        <w:t>进行信息披露。</w:t>
      </w:r>
    </w:p>
    <w:p>
      <w:pPr>
        <w:ind w:firstLine="480" w:firstLineChars="200"/>
        <w:rPr>
          <w:rFonts w:hint="eastAsia" w:ascii="楷体" w:hAnsi="楷体" w:eastAsia="楷体"/>
          <w:sz w:val="24"/>
          <w:szCs w:val="24"/>
        </w:rPr>
      </w:pPr>
      <w:r>
        <w:rPr>
          <w:rFonts w:hint="eastAsia" w:ascii="楷体" w:hAnsi="楷体" w:eastAsia="楷体"/>
          <w:sz w:val="24"/>
          <w:szCs w:val="24"/>
        </w:rPr>
        <w:t>相关信息在发布或发出之日视为通知已送达投资者并生效，</w:t>
      </w:r>
      <w:r>
        <w:rPr>
          <w:rFonts w:hint="eastAsia" w:ascii="楷体" w:hAnsi="楷体" w:eastAsia="楷体"/>
          <w:sz w:val="24"/>
          <w:szCs w:val="24"/>
          <w:lang w:val="en-US" w:eastAsia="zh-CN"/>
        </w:rPr>
        <w:t>管理人已完全履行信息披露义务。如因投资者未及时查询，或由于通讯故障、非产品管理人原因的系统故障以及其它不可抗力等因素的影响，致使投资者无法及时获取产品信息而产生的全部责任和风险（包括但不限于因未及时获取信息而错过资金使用和再投资的机会等），都由投资者自行承担。因此</w:t>
      </w:r>
      <w:r>
        <w:rPr>
          <w:rFonts w:hint="eastAsia" w:ascii="楷体" w:hAnsi="楷体" w:eastAsia="楷体"/>
          <w:sz w:val="24"/>
          <w:szCs w:val="24"/>
        </w:rPr>
        <w:t>请</w:t>
      </w:r>
      <w:r>
        <w:rPr>
          <w:rFonts w:hint="eastAsia" w:ascii="楷体" w:hAnsi="楷体" w:eastAsia="楷体"/>
          <w:sz w:val="24"/>
          <w:szCs w:val="24"/>
          <w:lang w:val="en-US" w:eastAsia="zh-CN"/>
        </w:rPr>
        <w:t>投资者</w:t>
      </w:r>
      <w:r>
        <w:rPr>
          <w:rFonts w:hint="eastAsia" w:ascii="楷体" w:hAnsi="楷体" w:eastAsia="楷体"/>
          <w:sz w:val="24"/>
          <w:szCs w:val="24"/>
        </w:rPr>
        <w:t>及时登陆苏银理财有限责任</w:t>
      </w:r>
      <w:r>
        <w:rPr>
          <w:rFonts w:hint="eastAsia" w:ascii="楷体" w:hAnsi="楷体" w:eastAsia="楷体"/>
          <w:sz w:val="24"/>
          <w:szCs w:val="24"/>
          <w:lang w:val="en-US" w:eastAsia="zh-CN"/>
        </w:rPr>
        <w:t>公司</w:t>
      </w:r>
      <w:r>
        <w:rPr>
          <w:rFonts w:hint="eastAsia" w:ascii="楷体" w:hAnsi="楷体" w:eastAsia="楷体"/>
          <w:sz w:val="24"/>
          <w:szCs w:val="24"/>
        </w:rPr>
        <w:t>官方网站或者向销售机构查询获取披露信息。</w:t>
      </w:r>
    </w:p>
    <w:p>
      <w:pPr>
        <w:tabs>
          <w:tab w:val="left" w:pos="1134"/>
        </w:tabs>
        <w:ind w:left="420" w:leftChars="200"/>
        <w:rPr>
          <w:rFonts w:ascii="楷体" w:hAnsi="楷体" w:eastAsia="楷体"/>
          <w:b/>
          <w:sz w:val="28"/>
          <w:szCs w:val="28"/>
        </w:rPr>
      </w:pPr>
      <w:r>
        <w:rPr>
          <w:rFonts w:hint="eastAsia" w:ascii="楷体" w:hAnsi="楷体" w:eastAsia="楷体"/>
          <w:b/>
          <w:sz w:val="28"/>
          <w:szCs w:val="28"/>
        </w:rPr>
        <w:t>十六、其他</w:t>
      </w:r>
    </w:p>
    <w:p>
      <w:pPr>
        <w:numPr>
          <w:ilvl w:val="0"/>
          <w:numId w:val="31"/>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追索条款</w:t>
      </w:r>
    </w:p>
    <w:p>
      <w:pPr>
        <w:ind w:firstLine="480" w:firstLineChars="200"/>
        <w:rPr>
          <w:rFonts w:ascii="楷体" w:hAnsi="楷体" w:eastAsia="楷体"/>
          <w:sz w:val="24"/>
          <w:szCs w:val="24"/>
        </w:rPr>
      </w:pPr>
      <w:r>
        <w:rPr>
          <w:rFonts w:hint="eastAsia" w:ascii="楷体" w:hAnsi="楷体" w:eastAsia="楷体"/>
          <w:sz w:val="24"/>
          <w:szCs w:val="24"/>
        </w:rPr>
        <w:t>若本理财产品所投资的金融资产到期不能全部偿付导致资产减值甚至本金大幅损失，则苏银理财将以管理人名义，代表理财产品投资者利益行使诉讼权利或者实施其他权利救济措施。</w:t>
      </w:r>
    </w:p>
    <w:p>
      <w:pPr>
        <w:numPr>
          <w:ilvl w:val="0"/>
          <w:numId w:val="31"/>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信息安全</w:t>
      </w:r>
    </w:p>
    <w:p>
      <w:pPr>
        <w:ind w:firstLine="480" w:firstLineChars="200"/>
        <w:rPr>
          <w:rFonts w:hint="eastAsia" w:ascii="楷体" w:hAnsi="楷体" w:eastAsia="楷体"/>
          <w:sz w:val="24"/>
          <w:szCs w:val="24"/>
        </w:rPr>
      </w:pPr>
      <w:r>
        <w:rPr>
          <w:rFonts w:hint="eastAsia" w:ascii="楷体" w:hAnsi="楷体" w:eastAsia="楷体"/>
          <w:sz w:val="24"/>
          <w:szCs w:val="24"/>
        </w:rPr>
        <w:t>苏银理财及</w:t>
      </w:r>
      <w:r>
        <w:rPr>
          <w:rFonts w:hint="eastAsia" w:ascii="楷体" w:hAnsi="楷体" w:eastAsia="楷体"/>
          <w:sz w:val="24"/>
          <w:szCs w:val="24"/>
          <w:lang w:val="en-US" w:eastAsia="zh-CN"/>
        </w:rPr>
        <w:t>销售</w:t>
      </w:r>
      <w:r>
        <w:rPr>
          <w:rFonts w:hint="eastAsia" w:ascii="楷体" w:hAnsi="楷体" w:eastAsia="楷体"/>
          <w:sz w:val="24"/>
          <w:szCs w:val="24"/>
        </w:rPr>
        <w:t>机构将据相关法律、法规严格履行投资者信息保密责任，除监管机构或司法机关等有权机构外，不得对其他第三方提供任何投资者信息。投资者在此同意并授权，苏银理财可根据监管要求，为理财产品登记等需要，向登记部门或监管机构提供投资者相关信息。</w:t>
      </w:r>
    </w:p>
    <w:p>
      <w:pPr>
        <w:ind w:firstLine="480" w:firstLineChars="200"/>
        <w:rPr>
          <w:rFonts w:hint="eastAsia" w:ascii="楷体" w:hAnsi="楷体" w:eastAsia="楷体"/>
          <w:sz w:val="24"/>
          <w:szCs w:val="24"/>
        </w:rPr>
      </w:pPr>
      <w:r>
        <w:rPr>
          <w:rFonts w:hint="eastAsia" w:ascii="楷体" w:hAnsi="楷体" w:eastAsia="楷体"/>
          <w:sz w:val="24"/>
          <w:szCs w:val="24"/>
        </w:rPr>
        <w:t>投资者在此同意并授权苏银理财可根据业务需要向苏银理财集团成员、服务机构及其他苏银理财认为必要的业务合作机构提供苏银理财获取的投资者个人信息，范围包括但不限于投资人的身份信息、账户信息等。上述第三方将为处理本协议项下事务之目的</w:t>
      </w:r>
      <w:r>
        <w:rPr>
          <w:rFonts w:hint="eastAsia" w:ascii="楷体" w:hAnsi="楷体" w:eastAsia="楷体"/>
          <w:sz w:val="24"/>
          <w:szCs w:val="24"/>
          <w:lang w:val="en-US" w:eastAsia="zh-CN"/>
        </w:rPr>
        <w:t>接触</w:t>
      </w:r>
      <w:r>
        <w:rPr>
          <w:rFonts w:hint="eastAsia" w:ascii="楷体" w:hAnsi="楷体" w:eastAsia="楷体"/>
          <w:sz w:val="24"/>
          <w:szCs w:val="24"/>
        </w:rPr>
        <w:t>并按照苏银理财的业务要求以及“最少必须”原则使用投资人个人信息。苏银理财承诺将向有关第三方明确其保护投资人信息的职责并要求第三方承担相应的保密义务。</w:t>
      </w:r>
    </w:p>
    <w:p>
      <w:pPr>
        <w:numPr>
          <w:ilvl w:val="0"/>
          <w:numId w:val="31"/>
        </w:numPr>
        <w:tabs>
          <w:tab w:val="left" w:pos="993"/>
        </w:tabs>
        <w:ind w:left="0" w:firstLine="482" w:firstLineChars="200"/>
        <w:outlineLvl w:val="2"/>
        <w:rPr>
          <w:rFonts w:ascii="楷体" w:hAnsi="楷体" w:eastAsia="楷体" w:cs="Calibri"/>
          <w:b/>
          <w:sz w:val="24"/>
          <w:szCs w:val="24"/>
        </w:rPr>
      </w:pPr>
      <w:r>
        <w:rPr>
          <w:rFonts w:hint="eastAsia" w:ascii="楷体" w:hAnsi="楷体" w:eastAsia="楷体" w:cs="Calibri"/>
          <w:b/>
          <w:sz w:val="24"/>
          <w:szCs w:val="24"/>
        </w:rPr>
        <w:t>争议解决</w:t>
      </w:r>
    </w:p>
    <w:p>
      <w:pPr>
        <w:ind w:firstLine="480" w:firstLineChars="200"/>
        <w:rPr>
          <w:rFonts w:ascii="楷体" w:hAnsi="楷体" w:eastAsia="楷体"/>
          <w:sz w:val="24"/>
          <w:szCs w:val="24"/>
        </w:rPr>
      </w:pPr>
      <w:r>
        <w:rPr>
          <w:rFonts w:hint="eastAsia" w:ascii="楷体" w:hAnsi="楷体" w:eastAsia="楷体"/>
          <w:sz w:val="24"/>
          <w:szCs w:val="24"/>
        </w:rPr>
        <w:t>本合同的订立、生效、履行、解释、修改和终止等事项均适用中华人民共和国（不包括香港特别行政区、澳门特别行政区和台湾地区）法律。因本合同引起的或与本合同有关的任何争议，应当首先通过双方之间的友好协商解决；协商不成的，双方均有权提交产品管理人所在地有管辖权的人民法院诉讼解决。</w:t>
      </w:r>
    </w:p>
    <w:p>
      <w:pPr>
        <w:ind w:firstLine="480" w:firstLineChars="200"/>
        <w:rPr>
          <w:rFonts w:hint="eastAsia" w:ascii="楷体" w:hAnsi="楷体" w:eastAsia="楷体"/>
          <w:sz w:val="24"/>
          <w:szCs w:val="24"/>
        </w:rPr>
      </w:pPr>
      <w:r>
        <w:rPr>
          <w:rFonts w:hint="eastAsia" w:ascii="楷体" w:hAnsi="楷体" w:eastAsia="楷体"/>
          <w:sz w:val="24"/>
          <w:szCs w:val="24"/>
        </w:rPr>
        <w:t>苏银理财有限责任公司将恪守勤勉尽责的原则，合理配置资产组合，为投资者提供专业化的理财服务。投资者应密切关注苏银理财有限责任公司与本产品有关的信息公告，以免造成不必要的损失。</w:t>
      </w:r>
      <w:bookmarkStart w:id="0" w:name="_GoBack"/>
      <w:bookmarkEnd w:id="0"/>
    </w:p>
    <w:p/>
    <w:sectPr>
      <w:headerReference r:id="rId6" w:type="first"/>
      <w:headerReference r:id="rId4" w:type="default"/>
      <w:footerReference r:id="rId7" w:type="default"/>
      <w:head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浠垮畫">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40</w:t>
    </w:r>
    <w:r>
      <w:rPr>
        <w:b/>
        <w:bCs/>
        <w:sz w:val="24"/>
        <w:szCs w:val="24"/>
      </w:rPr>
      <w:fldChar w:fldCharType="end"/>
    </w:r>
  </w:p>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11"/>
      </w:pPr>
      <w:r>
        <w:rPr>
          <w:rStyle w:val="20"/>
        </w:rPr>
        <w:footnoteRef/>
      </w:r>
      <w:r>
        <w:t xml:space="preserve"> </w:t>
      </w:r>
      <w:r>
        <w:rPr>
          <w:rFonts w:hint="eastAsia" w:ascii="楷体" w:hAnsi="楷体" w:eastAsia="楷体" w:cs="楷体"/>
        </w:rPr>
        <w:t>投资者权益须知的名称和内容以销售机构实际使用为准。</w:t>
      </w:r>
    </w:p>
  </w:footnote>
  <w:footnote w:id="1">
    <w:p>
      <w:pPr>
        <w:pStyle w:val="11"/>
        <w:rPr>
          <w:rFonts w:hint="eastAsia"/>
        </w:rPr>
      </w:pPr>
      <w:r>
        <w:rPr>
          <w:rStyle w:val="20"/>
        </w:rPr>
        <w:footnoteRef/>
      </w:r>
      <w:r>
        <w:t xml:space="preserve"> </w:t>
      </w:r>
      <w:r>
        <w:rPr>
          <w:rFonts w:hint="eastAsia" w:ascii="楷体" w:hAnsi="楷体" w:eastAsia="楷体" w:cs="楷体"/>
        </w:rPr>
        <w:t>理财产品（代理）销售协议书的名称和内容以销售机构实际使用为准。</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insoku w:val="0"/>
      <w:overflowPunct w:val="0"/>
      <w:spacing w:before="0" w:line="320" w:lineRule="exact"/>
      <w:ind w:left="20"/>
      <w:jc w:val="both"/>
      <w:rPr>
        <w:rFonts w:ascii="楷体" w:hAnsi="楷体" w:eastAsia="楷体" w:cs="黑体"/>
        <w:b/>
        <w:spacing w:val="-2"/>
        <w:sz w:val="24"/>
        <w:szCs w:val="24"/>
      </w:rPr>
    </w:pPr>
    <w:r>
      <w:rPr>
        <w:rFonts w:ascii="楷体" w:hAnsi="楷体" w:eastAsia="楷体"/>
        <w:b/>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4" name="WordPictureWatermark367128483"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67128483"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r>
      <w:drawing>
        <wp:anchor distT="0" distB="0" distL="114300" distR="114300" simplePos="0" relativeHeight="251662336" behindDoc="0" locked="0" layoutInCell="1" allowOverlap="1">
          <wp:simplePos x="0" y="0"/>
          <wp:positionH relativeFrom="column">
            <wp:posOffset>3923665</wp:posOffset>
          </wp:positionH>
          <wp:positionV relativeFrom="paragraph">
            <wp:posOffset>-95250</wp:posOffset>
          </wp:positionV>
          <wp:extent cx="1325245" cy="424815"/>
          <wp:effectExtent l="0" t="0" r="8255" b="13335"/>
          <wp:wrapSquare wrapText="bothSides"/>
          <wp:docPr id="5" name="图片 1" descr="说明: 说明: C:\Users\JSYH\Desktop\苏银理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说明: 说明: C:\Users\JSYH\Desktop\苏银理财.png"/>
                  <pic:cNvPicPr>
                    <a:picLocks noChangeAspect="1"/>
                  </pic:cNvPicPr>
                </pic:nvPicPr>
                <pic:blipFill>
                  <a:blip r:embed="rId2"/>
                  <a:stretch>
                    <a:fillRect/>
                  </a:stretch>
                </pic:blipFill>
                <pic:spPr>
                  <a:xfrm>
                    <a:off x="0" y="0"/>
                    <a:ext cx="1325245" cy="424815"/>
                  </a:xfrm>
                  <a:prstGeom prst="rect">
                    <a:avLst/>
                  </a:prstGeom>
                  <a:noFill/>
                  <a:ln>
                    <a:noFill/>
                  </a:ln>
                </pic:spPr>
              </pic:pic>
            </a:graphicData>
          </a:graphic>
        </wp:anchor>
      </w:drawing>
    </w:r>
    <w:r>
      <w:rPr>
        <w:rFonts w:hint="eastAsia" w:ascii="楷体" w:hAnsi="楷体" w:eastAsia="楷体" w:cs="黑体"/>
        <w:b/>
        <w:bCs/>
        <w:spacing w:val="-2"/>
        <w:sz w:val="24"/>
        <w:szCs w:val="24"/>
      </w:rPr>
      <w:t>理财非存款、产品有风险、投资须谨慎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3" name="WordPictureWatermark367128482"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67128482"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14444345" cy="10958195"/>
          <wp:effectExtent l="0" t="0" r="14605" b="14605"/>
          <wp:wrapNone/>
          <wp:docPr id="2" name="WordPictureWatermark367128481" descr="苏银理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67128481" descr="苏银理财"/>
                  <pic:cNvPicPr>
                    <a:picLocks noChangeAspect="1"/>
                  </pic:cNvPicPr>
                </pic:nvPicPr>
                <pic:blipFill>
                  <a:blip r:embed="rId1">
                    <a:lum bright="70001" contrast="-70000"/>
                  </a:blip>
                  <a:stretch>
                    <a:fillRect/>
                  </a:stretch>
                </pic:blipFill>
                <pic:spPr>
                  <a:xfrm>
                    <a:off x="0" y="0"/>
                    <a:ext cx="14444345" cy="1095819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75D0C4"/>
    <w:multiLevelType w:val="singleLevel"/>
    <w:tmpl w:val="EE75D0C4"/>
    <w:lvl w:ilvl="0" w:tentative="0">
      <w:start w:val="1"/>
      <w:numFmt w:val="decimal"/>
      <w:suff w:val="nothing"/>
      <w:lvlText w:val="（%1）"/>
      <w:lvlJc w:val="left"/>
    </w:lvl>
  </w:abstractNum>
  <w:abstractNum w:abstractNumId="1">
    <w:nsid w:val="09FF389C"/>
    <w:multiLevelType w:val="multilevel"/>
    <w:tmpl w:val="09FF389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AA62A71"/>
    <w:multiLevelType w:val="multilevel"/>
    <w:tmpl w:val="0AA62A71"/>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C3743EB"/>
    <w:multiLevelType w:val="multilevel"/>
    <w:tmpl w:val="0C3743E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10C2B17"/>
    <w:multiLevelType w:val="multilevel"/>
    <w:tmpl w:val="110C2B1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2E5146A"/>
    <w:multiLevelType w:val="multilevel"/>
    <w:tmpl w:val="12E514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CA52050"/>
    <w:multiLevelType w:val="multilevel"/>
    <w:tmpl w:val="1CA52050"/>
    <w:lvl w:ilvl="0" w:tentative="0">
      <w:start w:val="1"/>
      <w:numFmt w:val="chineseCountingThousand"/>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
    <w:nsid w:val="296D7B4C"/>
    <w:multiLevelType w:val="multilevel"/>
    <w:tmpl w:val="296D7B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CE04DEB"/>
    <w:multiLevelType w:val="multilevel"/>
    <w:tmpl w:val="2CE04DEB"/>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3266630"/>
    <w:multiLevelType w:val="multilevel"/>
    <w:tmpl w:val="3326663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3DE002A"/>
    <w:multiLevelType w:val="multilevel"/>
    <w:tmpl w:val="33DE002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4304046"/>
    <w:multiLevelType w:val="multilevel"/>
    <w:tmpl w:val="3430404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FC765AA"/>
    <w:multiLevelType w:val="multilevel"/>
    <w:tmpl w:val="3FC765A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1C02CA7"/>
    <w:multiLevelType w:val="multilevel"/>
    <w:tmpl w:val="41C02CA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5714B71"/>
    <w:multiLevelType w:val="multilevel"/>
    <w:tmpl w:val="45714B7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49655AE0"/>
    <w:multiLevelType w:val="multilevel"/>
    <w:tmpl w:val="49655AE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CC848E7"/>
    <w:multiLevelType w:val="multilevel"/>
    <w:tmpl w:val="4CC848E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4EFB275F"/>
    <w:multiLevelType w:val="multilevel"/>
    <w:tmpl w:val="4EFB275F"/>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55CB1E63"/>
    <w:multiLevelType w:val="multilevel"/>
    <w:tmpl w:val="55CB1E6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A1C30FB"/>
    <w:multiLevelType w:val="multilevel"/>
    <w:tmpl w:val="5A1C30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5D055B78"/>
    <w:multiLevelType w:val="multilevel"/>
    <w:tmpl w:val="5D055B7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67267532"/>
    <w:multiLevelType w:val="multilevel"/>
    <w:tmpl w:val="6726753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737049F"/>
    <w:multiLevelType w:val="multilevel"/>
    <w:tmpl w:val="6737049F"/>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B501D7C"/>
    <w:multiLevelType w:val="multilevel"/>
    <w:tmpl w:val="6B501D7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6CA0107E"/>
    <w:multiLevelType w:val="multilevel"/>
    <w:tmpl w:val="6CA0107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6CCD3B1D"/>
    <w:multiLevelType w:val="multilevel"/>
    <w:tmpl w:val="6CCD3B1D"/>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6D244212"/>
    <w:multiLevelType w:val="multilevel"/>
    <w:tmpl w:val="6D24421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DA47F2C"/>
    <w:multiLevelType w:val="multilevel"/>
    <w:tmpl w:val="6DA47F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5E52FDD"/>
    <w:multiLevelType w:val="multilevel"/>
    <w:tmpl w:val="75E52FDD"/>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C3373F8"/>
    <w:multiLevelType w:val="multilevel"/>
    <w:tmpl w:val="7C3373F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DB725C8"/>
    <w:multiLevelType w:val="multilevel"/>
    <w:tmpl w:val="7DB725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14"/>
  </w:num>
  <w:num w:numId="3">
    <w:abstractNumId w:val="6"/>
  </w:num>
  <w:num w:numId="4">
    <w:abstractNumId w:val="11"/>
  </w:num>
  <w:num w:numId="5">
    <w:abstractNumId w:val="21"/>
  </w:num>
  <w:num w:numId="6">
    <w:abstractNumId w:val="19"/>
  </w:num>
  <w:num w:numId="7">
    <w:abstractNumId w:val="24"/>
  </w:num>
  <w:num w:numId="8">
    <w:abstractNumId w:val="7"/>
  </w:num>
  <w:num w:numId="9">
    <w:abstractNumId w:val="13"/>
  </w:num>
  <w:num w:numId="10">
    <w:abstractNumId w:val="0"/>
  </w:num>
  <w:num w:numId="11">
    <w:abstractNumId w:val="28"/>
  </w:num>
  <w:num w:numId="12">
    <w:abstractNumId w:val="16"/>
  </w:num>
  <w:num w:numId="13">
    <w:abstractNumId w:val="17"/>
  </w:num>
  <w:num w:numId="14">
    <w:abstractNumId w:val="4"/>
  </w:num>
  <w:num w:numId="15">
    <w:abstractNumId w:val="3"/>
  </w:num>
  <w:num w:numId="16">
    <w:abstractNumId w:val="8"/>
  </w:num>
  <w:num w:numId="17">
    <w:abstractNumId w:val="5"/>
  </w:num>
  <w:num w:numId="18">
    <w:abstractNumId w:val="9"/>
  </w:num>
  <w:num w:numId="19">
    <w:abstractNumId w:val="23"/>
  </w:num>
  <w:num w:numId="20">
    <w:abstractNumId w:val="2"/>
  </w:num>
  <w:num w:numId="21">
    <w:abstractNumId w:val="25"/>
  </w:num>
  <w:num w:numId="22">
    <w:abstractNumId w:val="18"/>
  </w:num>
  <w:num w:numId="23">
    <w:abstractNumId w:val="26"/>
  </w:num>
  <w:num w:numId="24">
    <w:abstractNumId w:val="30"/>
  </w:num>
  <w:num w:numId="25">
    <w:abstractNumId w:val="22"/>
  </w:num>
  <w:num w:numId="26">
    <w:abstractNumId w:val="10"/>
  </w:num>
  <w:num w:numId="27">
    <w:abstractNumId w:val="29"/>
  </w:num>
  <w:num w:numId="28">
    <w:abstractNumId w:val="15"/>
  </w:num>
  <w:num w:numId="29">
    <w:abstractNumId w:val="27"/>
  </w:num>
  <w:num w:numId="30">
    <w:abstractNumId w:val="1"/>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4"/>
    <w:footnote w:id="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91"/>
    <w:rsid w:val="00000B2F"/>
    <w:rsid w:val="00001E2F"/>
    <w:rsid w:val="00002389"/>
    <w:rsid w:val="000025C6"/>
    <w:rsid w:val="00002BDE"/>
    <w:rsid w:val="00003606"/>
    <w:rsid w:val="000048B0"/>
    <w:rsid w:val="00005B01"/>
    <w:rsid w:val="000063CF"/>
    <w:rsid w:val="00006A59"/>
    <w:rsid w:val="000101E4"/>
    <w:rsid w:val="0001103A"/>
    <w:rsid w:val="000131EF"/>
    <w:rsid w:val="00013628"/>
    <w:rsid w:val="00013844"/>
    <w:rsid w:val="000139C7"/>
    <w:rsid w:val="00014334"/>
    <w:rsid w:val="00014672"/>
    <w:rsid w:val="00015A92"/>
    <w:rsid w:val="00015D58"/>
    <w:rsid w:val="00016232"/>
    <w:rsid w:val="00017AB0"/>
    <w:rsid w:val="0002052D"/>
    <w:rsid w:val="000206F2"/>
    <w:rsid w:val="00020A6F"/>
    <w:rsid w:val="00021007"/>
    <w:rsid w:val="00023BA8"/>
    <w:rsid w:val="000247F9"/>
    <w:rsid w:val="00027E61"/>
    <w:rsid w:val="00027F48"/>
    <w:rsid w:val="0003072E"/>
    <w:rsid w:val="00030D69"/>
    <w:rsid w:val="00031806"/>
    <w:rsid w:val="00031F80"/>
    <w:rsid w:val="0003323A"/>
    <w:rsid w:val="00034890"/>
    <w:rsid w:val="00035097"/>
    <w:rsid w:val="00036482"/>
    <w:rsid w:val="000405B1"/>
    <w:rsid w:val="00042B55"/>
    <w:rsid w:val="00043D2C"/>
    <w:rsid w:val="00043D5F"/>
    <w:rsid w:val="000461C3"/>
    <w:rsid w:val="000463B3"/>
    <w:rsid w:val="000469D0"/>
    <w:rsid w:val="00050975"/>
    <w:rsid w:val="00051317"/>
    <w:rsid w:val="00051479"/>
    <w:rsid w:val="0005439B"/>
    <w:rsid w:val="00054854"/>
    <w:rsid w:val="000554B0"/>
    <w:rsid w:val="00060306"/>
    <w:rsid w:val="00060571"/>
    <w:rsid w:val="00060984"/>
    <w:rsid w:val="00061D74"/>
    <w:rsid w:val="00062791"/>
    <w:rsid w:val="00063EE4"/>
    <w:rsid w:val="00064EB1"/>
    <w:rsid w:val="00064F2B"/>
    <w:rsid w:val="000664A7"/>
    <w:rsid w:val="00066F56"/>
    <w:rsid w:val="0006729D"/>
    <w:rsid w:val="000677EE"/>
    <w:rsid w:val="000679B3"/>
    <w:rsid w:val="00071418"/>
    <w:rsid w:val="00071581"/>
    <w:rsid w:val="0007293A"/>
    <w:rsid w:val="00072C82"/>
    <w:rsid w:val="00072CD2"/>
    <w:rsid w:val="00072CE4"/>
    <w:rsid w:val="00072D1F"/>
    <w:rsid w:val="0007366C"/>
    <w:rsid w:val="00074189"/>
    <w:rsid w:val="00074306"/>
    <w:rsid w:val="00075FF8"/>
    <w:rsid w:val="00080C2C"/>
    <w:rsid w:val="00081AD6"/>
    <w:rsid w:val="0008269B"/>
    <w:rsid w:val="00083410"/>
    <w:rsid w:val="000837F8"/>
    <w:rsid w:val="000853F6"/>
    <w:rsid w:val="000867A8"/>
    <w:rsid w:val="00087036"/>
    <w:rsid w:val="00087EDB"/>
    <w:rsid w:val="00090F89"/>
    <w:rsid w:val="00093991"/>
    <w:rsid w:val="00093C11"/>
    <w:rsid w:val="00094631"/>
    <w:rsid w:val="0009533A"/>
    <w:rsid w:val="000954E6"/>
    <w:rsid w:val="00096382"/>
    <w:rsid w:val="0009795C"/>
    <w:rsid w:val="00097F80"/>
    <w:rsid w:val="000A2D2D"/>
    <w:rsid w:val="000A2E68"/>
    <w:rsid w:val="000A4241"/>
    <w:rsid w:val="000A45AB"/>
    <w:rsid w:val="000A5AC2"/>
    <w:rsid w:val="000B0078"/>
    <w:rsid w:val="000B35B0"/>
    <w:rsid w:val="000B3B58"/>
    <w:rsid w:val="000B3EFD"/>
    <w:rsid w:val="000B5087"/>
    <w:rsid w:val="000B659B"/>
    <w:rsid w:val="000B6E9F"/>
    <w:rsid w:val="000C42F9"/>
    <w:rsid w:val="000C54ED"/>
    <w:rsid w:val="000C6143"/>
    <w:rsid w:val="000C7382"/>
    <w:rsid w:val="000D03A9"/>
    <w:rsid w:val="000D08F8"/>
    <w:rsid w:val="000D2387"/>
    <w:rsid w:val="000D35BD"/>
    <w:rsid w:val="000D71CF"/>
    <w:rsid w:val="000D7225"/>
    <w:rsid w:val="000D722C"/>
    <w:rsid w:val="000E0485"/>
    <w:rsid w:val="000E2E7D"/>
    <w:rsid w:val="000E34F3"/>
    <w:rsid w:val="000E400B"/>
    <w:rsid w:val="000E4205"/>
    <w:rsid w:val="000E62BF"/>
    <w:rsid w:val="000E7CF6"/>
    <w:rsid w:val="000F0433"/>
    <w:rsid w:val="000F0802"/>
    <w:rsid w:val="000F1D3C"/>
    <w:rsid w:val="000F3233"/>
    <w:rsid w:val="000F3DD2"/>
    <w:rsid w:val="000F4243"/>
    <w:rsid w:val="000F4ABF"/>
    <w:rsid w:val="000F5426"/>
    <w:rsid w:val="000F5B66"/>
    <w:rsid w:val="000F5FF6"/>
    <w:rsid w:val="000F65C5"/>
    <w:rsid w:val="000F7056"/>
    <w:rsid w:val="000F7D2C"/>
    <w:rsid w:val="000F7F9F"/>
    <w:rsid w:val="001008D1"/>
    <w:rsid w:val="00100F0C"/>
    <w:rsid w:val="001025A3"/>
    <w:rsid w:val="0010303D"/>
    <w:rsid w:val="001036A0"/>
    <w:rsid w:val="0010457E"/>
    <w:rsid w:val="001065F5"/>
    <w:rsid w:val="00107786"/>
    <w:rsid w:val="00110417"/>
    <w:rsid w:val="001116B6"/>
    <w:rsid w:val="0011194F"/>
    <w:rsid w:val="00111E3E"/>
    <w:rsid w:val="001126F6"/>
    <w:rsid w:val="00115E7F"/>
    <w:rsid w:val="00117EFC"/>
    <w:rsid w:val="00122F58"/>
    <w:rsid w:val="0012352A"/>
    <w:rsid w:val="001238E9"/>
    <w:rsid w:val="0012411A"/>
    <w:rsid w:val="001242DE"/>
    <w:rsid w:val="001251E9"/>
    <w:rsid w:val="00125B8C"/>
    <w:rsid w:val="0012647A"/>
    <w:rsid w:val="001275DB"/>
    <w:rsid w:val="00130849"/>
    <w:rsid w:val="00130EED"/>
    <w:rsid w:val="00130F7B"/>
    <w:rsid w:val="0013153C"/>
    <w:rsid w:val="0013364F"/>
    <w:rsid w:val="00133B98"/>
    <w:rsid w:val="0013472F"/>
    <w:rsid w:val="00134733"/>
    <w:rsid w:val="0013533F"/>
    <w:rsid w:val="001359ED"/>
    <w:rsid w:val="0014026D"/>
    <w:rsid w:val="0014066A"/>
    <w:rsid w:val="00140B25"/>
    <w:rsid w:val="0014498F"/>
    <w:rsid w:val="001450DF"/>
    <w:rsid w:val="001463F3"/>
    <w:rsid w:val="0014734D"/>
    <w:rsid w:val="00152B36"/>
    <w:rsid w:val="001530B2"/>
    <w:rsid w:val="001539BE"/>
    <w:rsid w:val="001543E7"/>
    <w:rsid w:val="00154BB2"/>
    <w:rsid w:val="00155B77"/>
    <w:rsid w:val="00160569"/>
    <w:rsid w:val="00161E2F"/>
    <w:rsid w:val="001624A3"/>
    <w:rsid w:val="001624CE"/>
    <w:rsid w:val="001624DA"/>
    <w:rsid w:val="00162BF5"/>
    <w:rsid w:val="001639EF"/>
    <w:rsid w:val="00165E23"/>
    <w:rsid w:val="00166B3A"/>
    <w:rsid w:val="00170099"/>
    <w:rsid w:val="00170194"/>
    <w:rsid w:val="00170927"/>
    <w:rsid w:val="0017092A"/>
    <w:rsid w:val="0017163D"/>
    <w:rsid w:val="001725B6"/>
    <w:rsid w:val="00172ACA"/>
    <w:rsid w:val="00174417"/>
    <w:rsid w:val="001745FA"/>
    <w:rsid w:val="001749CF"/>
    <w:rsid w:val="00175CEC"/>
    <w:rsid w:val="00176B8E"/>
    <w:rsid w:val="00177BCC"/>
    <w:rsid w:val="0018035B"/>
    <w:rsid w:val="0018251A"/>
    <w:rsid w:val="0018458D"/>
    <w:rsid w:val="001846FB"/>
    <w:rsid w:val="00185658"/>
    <w:rsid w:val="00186A2E"/>
    <w:rsid w:val="00186BD7"/>
    <w:rsid w:val="00194AE5"/>
    <w:rsid w:val="00194E69"/>
    <w:rsid w:val="00197DD9"/>
    <w:rsid w:val="001A05F5"/>
    <w:rsid w:val="001A3999"/>
    <w:rsid w:val="001A46C0"/>
    <w:rsid w:val="001A57DB"/>
    <w:rsid w:val="001A586B"/>
    <w:rsid w:val="001A6EFF"/>
    <w:rsid w:val="001A73F1"/>
    <w:rsid w:val="001B043A"/>
    <w:rsid w:val="001B0EF8"/>
    <w:rsid w:val="001B1D26"/>
    <w:rsid w:val="001B1E1E"/>
    <w:rsid w:val="001B2F76"/>
    <w:rsid w:val="001B2F82"/>
    <w:rsid w:val="001B396B"/>
    <w:rsid w:val="001B4B9C"/>
    <w:rsid w:val="001B55D2"/>
    <w:rsid w:val="001B7D0D"/>
    <w:rsid w:val="001C0F94"/>
    <w:rsid w:val="001C13E9"/>
    <w:rsid w:val="001C3F7D"/>
    <w:rsid w:val="001C401D"/>
    <w:rsid w:val="001C4148"/>
    <w:rsid w:val="001C5E04"/>
    <w:rsid w:val="001C78FF"/>
    <w:rsid w:val="001D0B29"/>
    <w:rsid w:val="001D1C27"/>
    <w:rsid w:val="001D2A8B"/>
    <w:rsid w:val="001D49AC"/>
    <w:rsid w:val="001D4BC9"/>
    <w:rsid w:val="001D4FE1"/>
    <w:rsid w:val="001D78FF"/>
    <w:rsid w:val="001E0387"/>
    <w:rsid w:val="001E223F"/>
    <w:rsid w:val="001E4374"/>
    <w:rsid w:val="001E4A82"/>
    <w:rsid w:val="001E4C0D"/>
    <w:rsid w:val="001E4E95"/>
    <w:rsid w:val="001E631F"/>
    <w:rsid w:val="001F0A69"/>
    <w:rsid w:val="001F0EC7"/>
    <w:rsid w:val="001F1728"/>
    <w:rsid w:val="001F2658"/>
    <w:rsid w:val="001F375E"/>
    <w:rsid w:val="001F3AD6"/>
    <w:rsid w:val="001F3CCB"/>
    <w:rsid w:val="001F63BD"/>
    <w:rsid w:val="001F6775"/>
    <w:rsid w:val="001F69BF"/>
    <w:rsid w:val="001F70BF"/>
    <w:rsid w:val="00200DF8"/>
    <w:rsid w:val="002024E9"/>
    <w:rsid w:val="00206282"/>
    <w:rsid w:val="0020639A"/>
    <w:rsid w:val="00210354"/>
    <w:rsid w:val="00210857"/>
    <w:rsid w:val="002119A2"/>
    <w:rsid w:val="00215CD1"/>
    <w:rsid w:val="0022162D"/>
    <w:rsid w:val="00221E60"/>
    <w:rsid w:val="002221CB"/>
    <w:rsid w:val="002222A4"/>
    <w:rsid w:val="00224F31"/>
    <w:rsid w:val="0022633B"/>
    <w:rsid w:val="00226F9D"/>
    <w:rsid w:val="00230DAA"/>
    <w:rsid w:val="00230F4A"/>
    <w:rsid w:val="00231E83"/>
    <w:rsid w:val="002325CE"/>
    <w:rsid w:val="0023523A"/>
    <w:rsid w:val="00235E45"/>
    <w:rsid w:val="002366EB"/>
    <w:rsid w:val="00237FDB"/>
    <w:rsid w:val="0024053C"/>
    <w:rsid w:val="0024338D"/>
    <w:rsid w:val="00243629"/>
    <w:rsid w:val="002436C1"/>
    <w:rsid w:val="00243DF5"/>
    <w:rsid w:val="002449BB"/>
    <w:rsid w:val="00245106"/>
    <w:rsid w:val="00245D03"/>
    <w:rsid w:val="00247A7D"/>
    <w:rsid w:val="0025150E"/>
    <w:rsid w:val="00252B51"/>
    <w:rsid w:val="00253997"/>
    <w:rsid w:val="00253A8D"/>
    <w:rsid w:val="0025423C"/>
    <w:rsid w:val="00254A3C"/>
    <w:rsid w:val="00254A8B"/>
    <w:rsid w:val="00256E57"/>
    <w:rsid w:val="0025744E"/>
    <w:rsid w:val="0026641B"/>
    <w:rsid w:val="002672C8"/>
    <w:rsid w:val="0026766B"/>
    <w:rsid w:val="00270665"/>
    <w:rsid w:val="00270804"/>
    <w:rsid w:val="0027087F"/>
    <w:rsid w:val="00271B5B"/>
    <w:rsid w:val="00272C53"/>
    <w:rsid w:val="00272E20"/>
    <w:rsid w:val="00273681"/>
    <w:rsid w:val="00274587"/>
    <w:rsid w:val="0027510A"/>
    <w:rsid w:val="002753C3"/>
    <w:rsid w:val="00276883"/>
    <w:rsid w:val="00276C78"/>
    <w:rsid w:val="002770C9"/>
    <w:rsid w:val="00277C1F"/>
    <w:rsid w:val="00280589"/>
    <w:rsid w:val="00280BA8"/>
    <w:rsid w:val="002821D7"/>
    <w:rsid w:val="00282304"/>
    <w:rsid w:val="00282F20"/>
    <w:rsid w:val="00286A20"/>
    <w:rsid w:val="00287B11"/>
    <w:rsid w:val="0029004F"/>
    <w:rsid w:val="00290504"/>
    <w:rsid w:val="00291B84"/>
    <w:rsid w:val="00292B5E"/>
    <w:rsid w:val="002932FC"/>
    <w:rsid w:val="00293A19"/>
    <w:rsid w:val="00293FBC"/>
    <w:rsid w:val="00294431"/>
    <w:rsid w:val="00294B49"/>
    <w:rsid w:val="00295538"/>
    <w:rsid w:val="00297034"/>
    <w:rsid w:val="00297B34"/>
    <w:rsid w:val="00297FBC"/>
    <w:rsid w:val="002A1D5F"/>
    <w:rsid w:val="002A2202"/>
    <w:rsid w:val="002A23E0"/>
    <w:rsid w:val="002A2E20"/>
    <w:rsid w:val="002A32DF"/>
    <w:rsid w:val="002A3914"/>
    <w:rsid w:val="002A4DD2"/>
    <w:rsid w:val="002A7DF5"/>
    <w:rsid w:val="002A7E94"/>
    <w:rsid w:val="002B0795"/>
    <w:rsid w:val="002B1932"/>
    <w:rsid w:val="002B1D8F"/>
    <w:rsid w:val="002B1F1C"/>
    <w:rsid w:val="002B2620"/>
    <w:rsid w:val="002B29F4"/>
    <w:rsid w:val="002B3225"/>
    <w:rsid w:val="002B5694"/>
    <w:rsid w:val="002B7844"/>
    <w:rsid w:val="002C0181"/>
    <w:rsid w:val="002C021F"/>
    <w:rsid w:val="002C2056"/>
    <w:rsid w:val="002C23F7"/>
    <w:rsid w:val="002C3367"/>
    <w:rsid w:val="002C5770"/>
    <w:rsid w:val="002C68E0"/>
    <w:rsid w:val="002C7CB4"/>
    <w:rsid w:val="002C7E29"/>
    <w:rsid w:val="002D027E"/>
    <w:rsid w:val="002D2324"/>
    <w:rsid w:val="002D29FD"/>
    <w:rsid w:val="002D2AEC"/>
    <w:rsid w:val="002D2C1F"/>
    <w:rsid w:val="002D4E9A"/>
    <w:rsid w:val="002D7BB3"/>
    <w:rsid w:val="002E1382"/>
    <w:rsid w:val="002E6F55"/>
    <w:rsid w:val="002F04F7"/>
    <w:rsid w:val="002F0E4E"/>
    <w:rsid w:val="002F344B"/>
    <w:rsid w:val="002F709A"/>
    <w:rsid w:val="002F77A8"/>
    <w:rsid w:val="00301619"/>
    <w:rsid w:val="00301AD3"/>
    <w:rsid w:val="00302755"/>
    <w:rsid w:val="003055CF"/>
    <w:rsid w:val="00305A15"/>
    <w:rsid w:val="00306353"/>
    <w:rsid w:val="00306D41"/>
    <w:rsid w:val="00307094"/>
    <w:rsid w:val="00307342"/>
    <w:rsid w:val="00307A48"/>
    <w:rsid w:val="00310163"/>
    <w:rsid w:val="00310374"/>
    <w:rsid w:val="00310A72"/>
    <w:rsid w:val="00311C18"/>
    <w:rsid w:val="00312445"/>
    <w:rsid w:val="003128A0"/>
    <w:rsid w:val="0031298C"/>
    <w:rsid w:val="00313D52"/>
    <w:rsid w:val="00314235"/>
    <w:rsid w:val="0032119C"/>
    <w:rsid w:val="00321C2B"/>
    <w:rsid w:val="00324E2B"/>
    <w:rsid w:val="0032607C"/>
    <w:rsid w:val="00326E7B"/>
    <w:rsid w:val="0033166C"/>
    <w:rsid w:val="0033315A"/>
    <w:rsid w:val="0033358A"/>
    <w:rsid w:val="00334052"/>
    <w:rsid w:val="003342B8"/>
    <w:rsid w:val="00334D65"/>
    <w:rsid w:val="0033504B"/>
    <w:rsid w:val="003362C7"/>
    <w:rsid w:val="00336A5A"/>
    <w:rsid w:val="00337AA0"/>
    <w:rsid w:val="00340F90"/>
    <w:rsid w:val="00342ADB"/>
    <w:rsid w:val="00343B0F"/>
    <w:rsid w:val="0034618B"/>
    <w:rsid w:val="00347006"/>
    <w:rsid w:val="00347C86"/>
    <w:rsid w:val="00347D0D"/>
    <w:rsid w:val="00350342"/>
    <w:rsid w:val="003503AE"/>
    <w:rsid w:val="00350881"/>
    <w:rsid w:val="003511ED"/>
    <w:rsid w:val="00351D8C"/>
    <w:rsid w:val="0035213A"/>
    <w:rsid w:val="00353419"/>
    <w:rsid w:val="00355122"/>
    <w:rsid w:val="00355258"/>
    <w:rsid w:val="00355D35"/>
    <w:rsid w:val="00356370"/>
    <w:rsid w:val="0035668F"/>
    <w:rsid w:val="00360094"/>
    <w:rsid w:val="00361313"/>
    <w:rsid w:val="00361E69"/>
    <w:rsid w:val="003625D5"/>
    <w:rsid w:val="003627FB"/>
    <w:rsid w:val="00362826"/>
    <w:rsid w:val="0036403D"/>
    <w:rsid w:val="0036455C"/>
    <w:rsid w:val="00366074"/>
    <w:rsid w:val="00367122"/>
    <w:rsid w:val="0037083D"/>
    <w:rsid w:val="0037229F"/>
    <w:rsid w:val="00372402"/>
    <w:rsid w:val="003725B4"/>
    <w:rsid w:val="003726C4"/>
    <w:rsid w:val="00372832"/>
    <w:rsid w:val="00372B67"/>
    <w:rsid w:val="00373237"/>
    <w:rsid w:val="00374273"/>
    <w:rsid w:val="00375BEB"/>
    <w:rsid w:val="00376909"/>
    <w:rsid w:val="00377D6B"/>
    <w:rsid w:val="003800B4"/>
    <w:rsid w:val="003809E0"/>
    <w:rsid w:val="003814E2"/>
    <w:rsid w:val="00381AF1"/>
    <w:rsid w:val="00381E88"/>
    <w:rsid w:val="003821F9"/>
    <w:rsid w:val="003827CD"/>
    <w:rsid w:val="003835EB"/>
    <w:rsid w:val="00383A99"/>
    <w:rsid w:val="00383D6D"/>
    <w:rsid w:val="003852EF"/>
    <w:rsid w:val="003870EE"/>
    <w:rsid w:val="00393452"/>
    <w:rsid w:val="00394C2C"/>
    <w:rsid w:val="0039628E"/>
    <w:rsid w:val="00396F85"/>
    <w:rsid w:val="0039723A"/>
    <w:rsid w:val="003A1CB9"/>
    <w:rsid w:val="003A27B8"/>
    <w:rsid w:val="003A3D8C"/>
    <w:rsid w:val="003A539D"/>
    <w:rsid w:val="003A547A"/>
    <w:rsid w:val="003A5FA1"/>
    <w:rsid w:val="003A7623"/>
    <w:rsid w:val="003B324C"/>
    <w:rsid w:val="003B3AB7"/>
    <w:rsid w:val="003B6220"/>
    <w:rsid w:val="003B67D8"/>
    <w:rsid w:val="003B7430"/>
    <w:rsid w:val="003B76DC"/>
    <w:rsid w:val="003C1E93"/>
    <w:rsid w:val="003C596C"/>
    <w:rsid w:val="003C655B"/>
    <w:rsid w:val="003C6A84"/>
    <w:rsid w:val="003D03AF"/>
    <w:rsid w:val="003D07CA"/>
    <w:rsid w:val="003D1FE5"/>
    <w:rsid w:val="003D2D67"/>
    <w:rsid w:val="003D3735"/>
    <w:rsid w:val="003D4E30"/>
    <w:rsid w:val="003D5148"/>
    <w:rsid w:val="003D5C90"/>
    <w:rsid w:val="003D6081"/>
    <w:rsid w:val="003D6720"/>
    <w:rsid w:val="003D6B3F"/>
    <w:rsid w:val="003D6CDF"/>
    <w:rsid w:val="003D7951"/>
    <w:rsid w:val="003E030F"/>
    <w:rsid w:val="003E07CF"/>
    <w:rsid w:val="003E1EFB"/>
    <w:rsid w:val="003E20DB"/>
    <w:rsid w:val="003E2B26"/>
    <w:rsid w:val="003E4299"/>
    <w:rsid w:val="003E70B9"/>
    <w:rsid w:val="003E7812"/>
    <w:rsid w:val="003F1494"/>
    <w:rsid w:val="003F2136"/>
    <w:rsid w:val="003F277A"/>
    <w:rsid w:val="003F31E6"/>
    <w:rsid w:val="003F40F9"/>
    <w:rsid w:val="003F46B6"/>
    <w:rsid w:val="003F4C40"/>
    <w:rsid w:val="003F52FE"/>
    <w:rsid w:val="003F580D"/>
    <w:rsid w:val="003F61D7"/>
    <w:rsid w:val="003F6475"/>
    <w:rsid w:val="00401D49"/>
    <w:rsid w:val="00401F3A"/>
    <w:rsid w:val="004021CB"/>
    <w:rsid w:val="0040272E"/>
    <w:rsid w:val="00402EA0"/>
    <w:rsid w:val="004041C9"/>
    <w:rsid w:val="00404615"/>
    <w:rsid w:val="00407407"/>
    <w:rsid w:val="004079CC"/>
    <w:rsid w:val="004106A7"/>
    <w:rsid w:val="004108D9"/>
    <w:rsid w:val="00412823"/>
    <w:rsid w:val="00412CB8"/>
    <w:rsid w:val="0041382E"/>
    <w:rsid w:val="00413D00"/>
    <w:rsid w:val="00414410"/>
    <w:rsid w:val="00414992"/>
    <w:rsid w:val="00414C90"/>
    <w:rsid w:val="004153ED"/>
    <w:rsid w:val="00415B87"/>
    <w:rsid w:val="00416ED0"/>
    <w:rsid w:val="004175B0"/>
    <w:rsid w:val="00421C9B"/>
    <w:rsid w:val="00421ED6"/>
    <w:rsid w:val="00426041"/>
    <w:rsid w:val="00426CBC"/>
    <w:rsid w:val="0042769A"/>
    <w:rsid w:val="0043002F"/>
    <w:rsid w:val="004303B3"/>
    <w:rsid w:val="00430927"/>
    <w:rsid w:val="0043308A"/>
    <w:rsid w:val="00433113"/>
    <w:rsid w:val="0043673C"/>
    <w:rsid w:val="00437DA0"/>
    <w:rsid w:val="004412CE"/>
    <w:rsid w:val="0044188C"/>
    <w:rsid w:val="00442277"/>
    <w:rsid w:val="00442603"/>
    <w:rsid w:val="00442985"/>
    <w:rsid w:val="00442BB2"/>
    <w:rsid w:val="00444898"/>
    <w:rsid w:val="00445E88"/>
    <w:rsid w:val="0045186E"/>
    <w:rsid w:val="00453254"/>
    <w:rsid w:val="00453451"/>
    <w:rsid w:val="0045366F"/>
    <w:rsid w:val="00453F4D"/>
    <w:rsid w:val="00455D49"/>
    <w:rsid w:val="00455DF1"/>
    <w:rsid w:val="0045751C"/>
    <w:rsid w:val="00460F22"/>
    <w:rsid w:val="004613C0"/>
    <w:rsid w:val="00461AED"/>
    <w:rsid w:val="004622CE"/>
    <w:rsid w:val="00462B83"/>
    <w:rsid w:val="0046413A"/>
    <w:rsid w:val="0046446A"/>
    <w:rsid w:val="004645D0"/>
    <w:rsid w:val="00464A97"/>
    <w:rsid w:val="00464FA6"/>
    <w:rsid w:val="004651E5"/>
    <w:rsid w:val="00465465"/>
    <w:rsid w:val="004676E4"/>
    <w:rsid w:val="0046796E"/>
    <w:rsid w:val="004707EC"/>
    <w:rsid w:val="00470F11"/>
    <w:rsid w:val="0047173F"/>
    <w:rsid w:val="004722FE"/>
    <w:rsid w:val="00472A2C"/>
    <w:rsid w:val="004739B2"/>
    <w:rsid w:val="00473A1E"/>
    <w:rsid w:val="00473D20"/>
    <w:rsid w:val="0047530A"/>
    <w:rsid w:val="004761F8"/>
    <w:rsid w:val="0047624F"/>
    <w:rsid w:val="00476551"/>
    <w:rsid w:val="00476764"/>
    <w:rsid w:val="00477506"/>
    <w:rsid w:val="00477994"/>
    <w:rsid w:val="0048029F"/>
    <w:rsid w:val="00480ED0"/>
    <w:rsid w:val="00481CB0"/>
    <w:rsid w:val="00481CC2"/>
    <w:rsid w:val="00482A14"/>
    <w:rsid w:val="00482CC2"/>
    <w:rsid w:val="004835E4"/>
    <w:rsid w:val="00484CF0"/>
    <w:rsid w:val="004856F7"/>
    <w:rsid w:val="00487169"/>
    <w:rsid w:val="00490539"/>
    <w:rsid w:val="004907EE"/>
    <w:rsid w:val="00490958"/>
    <w:rsid w:val="004910C2"/>
    <w:rsid w:val="00491342"/>
    <w:rsid w:val="00491B25"/>
    <w:rsid w:val="004925DF"/>
    <w:rsid w:val="004929D1"/>
    <w:rsid w:val="004931EF"/>
    <w:rsid w:val="004939CA"/>
    <w:rsid w:val="004943E7"/>
    <w:rsid w:val="00497627"/>
    <w:rsid w:val="00497D5C"/>
    <w:rsid w:val="004A0025"/>
    <w:rsid w:val="004A11E1"/>
    <w:rsid w:val="004A243A"/>
    <w:rsid w:val="004A2756"/>
    <w:rsid w:val="004A43DB"/>
    <w:rsid w:val="004A49CD"/>
    <w:rsid w:val="004A4AED"/>
    <w:rsid w:val="004A58D1"/>
    <w:rsid w:val="004A591E"/>
    <w:rsid w:val="004A5E88"/>
    <w:rsid w:val="004A65C0"/>
    <w:rsid w:val="004A6C11"/>
    <w:rsid w:val="004A6E41"/>
    <w:rsid w:val="004B1E66"/>
    <w:rsid w:val="004B4001"/>
    <w:rsid w:val="004B4B39"/>
    <w:rsid w:val="004B598C"/>
    <w:rsid w:val="004B6EA9"/>
    <w:rsid w:val="004B735F"/>
    <w:rsid w:val="004B77FF"/>
    <w:rsid w:val="004C0F0C"/>
    <w:rsid w:val="004C1242"/>
    <w:rsid w:val="004C1C90"/>
    <w:rsid w:val="004C38D6"/>
    <w:rsid w:val="004C49FA"/>
    <w:rsid w:val="004C4C9B"/>
    <w:rsid w:val="004C715E"/>
    <w:rsid w:val="004C7C47"/>
    <w:rsid w:val="004D0388"/>
    <w:rsid w:val="004D0478"/>
    <w:rsid w:val="004D0A93"/>
    <w:rsid w:val="004D1250"/>
    <w:rsid w:val="004D20F5"/>
    <w:rsid w:val="004D2EC3"/>
    <w:rsid w:val="004D34DD"/>
    <w:rsid w:val="004D382B"/>
    <w:rsid w:val="004D3B10"/>
    <w:rsid w:val="004D6E8F"/>
    <w:rsid w:val="004D73A7"/>
    <w:rsid w:val="004D7BA3"/>
    <w:rsid w:val="004E0A42"/>
    <w:rsid w:val="004E3184"/>
    <w:rsid w:val="004E3C6A"/>
    <w:rsid w:val="004E578D"/>
    <w:rsid w:val="004E645B"/>
    <w:rsid w:val="004F0FC9"/>
    <w:rsid w:val="004F1976"/>
    <w:rsid w:val="004F3AC9"/>
    <w:rsid w:val="004F3E60"/>
    <w:rsid w:val="004F46F0"/>
    <w:rsid w:val="004F4F78"/>
    <w:rsid w:val="004F55EC"/>
    <w:rsid w:val="004F64C1"/>
    <w:rsid w:val="0050008C"/>
    <w:rsid w:val="00500F96"/>
    <w:rsid w:val="005013A2"/>
    <w:rsid w:val="00501E90"/>
    <w:rsid w:val="005021AC"/>
    <w:rsid w:val="00503302"/>
    <w:rsid w:val="0050386F"/>
    <w:rsid w:val="005059A6"/>
    <w:rsid w:val="00510526"/>
    <w:rsid w:val="00510823"/>
    <w:rsid w:val="0051208D"/>
    <w:rsid w:val="00514531"/>
    <w:rsid w:val="00515789"/>
    <w:rsid w:val="00516DA1"/>
    <w:rsid w:val="00517A09"/>
    <w:rsid w:val="005201F1"/>
    <w:rsid w:val="00520ACC"/>
    <w:rsid w:val="00520B0B"/>
    <w:rsid w:val="00520DB0"/>
    <w:rsid w:val="005212D4"/>
    <w:rsid w:val="0052415B"/>
    <w:rsid w:val="00524AF2"/>
    <w:rsid w:val="005266CB"/>
    <w:rsid w:val="005278DA"/>
    <w:rsid w:val="00527FBD"/>
    <w:rsid w:val="005303CB"/>
    <w:rsid w:val="0053069A"/>
    <w:rsid w:val="005308B0"/>
    <w:rsid w:val="005332C4"/>
    <w:rsid w:val="0053444E"/>
    <w:rsid w:val="00534CE2"/>
    <w:rsid w:val="00534DA6"/>
    <w:rsid w:val="0053510C"/>
    <w:rsid w:val="00535310"/>
    <w:rsid w:val="005362B4"/>
    <w:rsid w:val="0053633A"/>
    <w:rsid w:val="005369FC"/>
    <w:rsid w:val="005400DC"/>
    <w:rsid w:val="005411FB"/>
    <w:rsid w:val="00542CCA"/>
    <w:rsid w:val="0054309D"/>
    <w:rsid w:val="005436F3"/>
    <w:rsid w:val="00544451"/>
    <w:rsid w:val="005449D5"/>
    <w:rsid w:val="00544A6C"/>
    <w:rsid w:val="00551427"/>
    <w:rsid w:val="00551C0A"/>
    <w:rsid w:val="00552ECA"/>
    <w:rsid w:val="005532BD"/>
    <w:rsid w:val="00554430"/>
    <w:rsid w:val="005544FD"/>
    <w:rsid w:val="00555D40"/>
    <w:rsid w:val="00560551"/>
    <w:rsid w:val="0056098B"/>
    <w:rsid w:val="00560C1D"/>
    <w:rsid w:val="00561FE9"/>
    <w:rsid w:val="00562524"/>
    <w:rsid w:val="00562804"/>
    <w:rsid w:val="00564F46"/>
    <w:rsid w:val="005659B2"/>
    <w:rsid w:val="00566CB6"/>
    <w:rsid w:val="00566F54"/>
    <w:rsid w:val="00567AAC"/>
    <w:rsid w:val="00570E1D"/>
    <w:rsid w:val="00570F5F"/>
    <w:rsid w:val="00572A2F"/>
    <w:rsid w:val="00572C28"/>
    <w:rsid w:val="00572D91"/>
    <w:rsid w:val="00574893"/>
    <w:rsid w:val="00575E03"/>
    <w:rsid w:val="00576B9E"/>
    <w:rsid w:val="00577555"/>
    <w:rsid w:val="0057778D"/>
    <w:rsid w:val="005803F4"/>
    <w:rsid w:val="005803FA"/>
    <w:rsid w:val="00581B3F"/>
    <w:rsid w:val="0058330C"/>
    <w:rsid w:val="00583A5E"/>
    <w:rsid w:val="00590CD8"/>
    <w:rsid w:val="00591A70"/>
    <w:rsid w:val="00593310"/>
    <w:rsid w:val="00593C66"/>
    <w:rsid w:val="0059440A"/>
    <w:rsid w:val="00595C4D"/>
    <w:rsid w:val="00596453"/>
    <w:rsid w:val="00597290"/>
    <w:rsid w:val="00597498"/>
    <w:rsid w:val="0059767A"/>
    <w:rsid w:val="00597860"/>
    <w:rsid w:val="00597C64"/>
    <w:rsid w:val="005A2E37"/>
    <w:rsid w:val="005A4D2A"/>
    <w:rsid w:val="005A6007"/>
    <w:rsid w:val="005A6752"/>
    <w:rsid w:val="005A6DE4"/>
    <w:rsid w:val="005A7236"/>
    <w:rsid w:val="005B08B3"/>
    <w:rsid w:val="005B0F07"/>
    <w:rsid w:val="005B16D7"/>
    <w:rsid w:val="005B1722"/>
    <w:rsid w:val="005B1BB5"/>
    <w:rsid w:val="005B1FB3"/>
    <w:rsid w:val="005B2156"/>
    <w:rsid w:val="005B3AC2"/>
    <w:rsid w:val="005B4027"/>
    <w:rsid w:val="005B62FA"/>
    <w:rsid w:val="005B6576"/>
    <w:rsid w:val="005C09F1"/>
    <w:rsid w:val="005C1CF3"/>
    <w:rsid w:val="005C37A8"/>
    <w:rsid w:val="005C3B0D"/>
    <w:rsid w:val="005C4A33"/>
    <w:rsid w:val="005C4B2D"/>
    <w:rsid w:val="005C5BC2"/>
    <w:rsid w:val="005C6C75"/>
    <w:rsid w:val="005C72E9"/>
    <w:rsid w:val="005C79F4"/>
    <w:rsid w:val="005D06E7"/>
    <w:rsid w:val="005D46AD"/>
    <w:rsid w:val="005D4D03"/>
    <w:rsid w:val="005D5292"/>
    <w:rsid w:val="005D5470"/>
    <w:rsid w:val="005D637B"/>
    <w:rsid w:val="005D6C7B"/>
    <w:rsid w:val="005E14F6"/>
    <w:rsid w:val="005E162C"/>
    <w:rsid w:val="005E26A1"/>
    <w:rsid w:val="005E2D33"/>
    <w:rsid w:val="005E494F"/>
    <w:rsid w:val="005E4DEC"/>
    <w:rsid w:val="005E5312"/>
    <w:rsid w:val="005E588E"/>
    <w:rsid w:val="005E5F0F"/>
    <w:rsid w:val="005E6F96"/>
    <w:rsid w:val="005F0E22"/>
    <w:rsid w:val="005F15EA"/>
    <w:rsid w:val="005F1604"/>
    <w:rsid w:val="005F24F4"/>
    <w:rsid w:val="005F2903"/>
    <w:rsid w:val="005F31D7"/>
    <w:rsid w:val="005F3AA3"/>
    <w:rsid w:val="005F537F"/>
    <w:rsid w:val="005F7D07"/>
    <w:rsid w:val="0060020D"/>
    <w:rsid w:val="00602794"/>
    <w:rsid w:val="0060289C"/>
    <w:rsid w:val="00604135"/>
    <w:rsid w:val="00604180"/>
    <w:rsid w:val="00605047"/>
    <w:rsid w:val="006058CB"/>
    <w:rsid w:val="00606754"/>
    <w:rsid w:val="0060733C"/>
    <w:rsid w:val="0060748F"/>
    <w:rsid w:val="0061140B"/>
    <w:rsid w:val="00612668"/>
    <w:rsid w:val="00613453"/>
    <w:rsid w:val="00613EA8"/>
    <w:rsid w:val="0061470B"/>
    <w:rsid w:val="00615377"/>
    <w:rsid w:val="00615563"/>
    <w:rsid w:val="00616AE1"/>
    <w:rsid w:val="00617F6B"/>
    <w:rsid w:val="0062067C"/>
    <w:rsid w:val="006214AD"/>
    <w:rsid w:val="006224C0"/>
    <w:rsid w:val="006235C4"/>
    <w:rsid w:val="00625863"/>
    <w:rsid w:val="00625F67"/>
    <w:rsid w:val="006260E5"/>
    <w:rsid w:val="00627B69"/>
    <w:rsid w:val="00633754"/>
    <w:rsid w:val="00635E85"/>
    <w:rsid w:val="006371FF"/>
    <w:rsid w:val="00643716"/>
    <w:rsid w:val="006441EC"/>
    <w:rsid w:val="00644A75"/>
    <w:rsid w:val="006472A0"/>
    <w:rsid w:val="00651512"/>
    <w:rsid w:val="00653B76"/>
    <w:rsid w:val="00653E20"/>
    <w:rsid w:val="00654956"/>
    <w:rsid w:val="00654DE7"/>
    <w:rsid w:val="0065533C"/>
    <w:rsid w:val="00656A9D"/>
    <w:rsid w:val="00656F5E"/>
    <w:rsid w:val="00657BCB"/>
    <w:rsid w:val="00661B05"/>
    <w:rsid w:val="00662CBC"/>
    <w:rsid w:val="006639BE"/>
    <w:rsid w:val="00666AAB"/>
    <w:rsid w:val="00666FD1"/>
    <w:rsid w:val="0067038D"/>
    <w:rsid w:val="00671A6A"/>
    <w:rsid w:val="00673F0C"/>
    <w:rsid w:val="00673F58"/>
    <w:rsid w:val="006749D7"/>
    <w:rsid w:val="006753D8"/>
    <w:rsid w:val="00675DB3"/>
    <w:rsid w:val="00676A38"/>
    <w:rsid w:val="00680098"/>
    <w:rsid w:val="00680957"/>
    <w:rsid w:val="00680BA2"/>
    <w:rsid w:val="00686325"/>
    <w:rsid w:val="00686EC4"/>
    <w:rsid w:val="00687063"/>
    <w:rsid w:val="00691425"/>
    <w:rsid w:val="00695E17"/>
    <w:rsid w:val="00696763"/>
    <w:rsid w:val="0069734A"/>
    <w:rsid w:val="006A1349"/>
    <w:rsid w:val="006A139A"/>
    <w:rsid w:val="006A1939"/>
    <w:rsid w:val="006A303A"/>
    <w:rsid w:val="006A3D89"/>
    <w:rsid w:val="006A414E"/>
    <w:rsid w:val="006A45A4"/>
    <w:rsid w:val="006A489E"/>
    <w:rsid w:val="006A6BB4"/>
    <w:rsid w:val="006B0367"/>
    <w:rsid w:val="006B03C4"/>
    <w:rsid w:val="006B147C"/>
    <w:rsid w:val="006B202A"/>
    <w:rsid w:val="006B4802"/>
    <w:rsid w:val="006B5097"/>
    <w:rsid w:val="006B5516"/>
    <w:rsid w:val="006B5CD7"/>
    <w:rsid w:val="006B5D36"/>
    <w:rsid w:val="006B5E1C"/>
    <w:rsid w:val="006B7A09"/>
    <w:rsid w:val="006C42CE"/>
    <w:rsid w:val="006C5486"/>
    <w:rsid w:val="006C592D"/>
    <w:rsid w:val="006C5E62"/>
    <w:rsid w:val="006C74B3"/>
    <w:rsid w:val="006D3791"/>
    <w:rsid w:val="006D463E"/>
    <w:rsid w:val="006D465F"/>
    <w:rsid w:val="006D4B88"/>
    <w:rsid w:val="006D5492"/>
    <w:rsid w:val="006D5D0D"/>
    <w:rsid w:val="006D7021"/>
    <w:rsid w:val="006D7209"/>
    <w:rsid w:val="006E11C9"/>
    <w:rsid w:val="006E1941"/>
    <w:rsid w:val="006E31AE"/>
    <w:rsid w:val="006E4984"/>
    <w:rsid w:val="006E5E71"/>
    <w:rsid w:val="006E6031"/>
    <w:rsid w:val="006E61F6"/>
    <w:rsid w:val="006E695F"/>
    <w:rsid w:val="006E75DF"/>
    <w:rsid w:val="006F12AB"/>
    <w:rsid w:val="006F1FBE"/>
    <w:rsid w:val="006F2DE0"/>
    <w:rsid w:val="006F32BF"/>
    <w:rsid w:val="006F3311"/>
    <w:rsid w:val="006F38F6"/>
    <w:rsid w:val="006F3989"/>
    <w:rsid w:val="006F4219"/>
    <w:rsid w:val="006F520B"/>
    <w:rsid w:val="006F570B"/>
    <w:rsid w:val="006F575A"/>
    <w:rsid w:val="00700A73"/>
    <w:rsid w:val="007015E9"/>
    <w:rsid w:val="00701999"/>
    <w:rsid w:val="00702050"/>
    <w:rsid w:val="00702A10"/>
    <w:rsid w:val="007030D0"/>
    <w:rsid w:val="00703926"/>
    <w:rsid w:val="00704993"/>
    <w:rsid w:val="00704ED8"/>
    <w:rsid w:val="0070601C"/>
    <w:rsid w:val="00707008"/>
    <w:rsid w:val="0071025D"/>
    <w:rsid w:val="00710993"/>
    <w:rsid w:val="00712884"/>
    <w:rsid w:val="00713C6D"/>
    <w:rsid w:val="00715090"/>
    <w:rsid w:val="00715379"/>
    <w:rsid w:val="00715571"/>
    <w:rsid w:val="00715606"/>
    <w:rsid w:val="0071587A"/>
    <w:rsid w:val="007159EB"/>
    <w:rsid w:val="007160E0"/>
    <w:rsid w:val="00716E3F"/>
    <w:rsid w:val="00717DE7"/>
    <w:rsid w:val="00720629"/>
    <w:rsid w:val="00720B16"/>
    <w:rsid w:val="0072156E"/>
    <w:rsid w:val="0072185A"/>
    <w:rsid w:val="007219C5"/>
    <w:rsid w:val="007223FC"/>
    <w:rsid w:val="00725F23"/>
    <w:rsid w:val="007267EB"/>
    <w:rsid w:val="0072737A"/>
    <w:rsid w:val="00730159"/>
    <w:rsid w:val="00730C0D"/>
    <w:rsid w:val="00730F30"/>
    <w:rsid w:val="0073129C"/>
    <w:rsid w:val="00732E80"/>
    <w:rsid w:val="007339DB"/>
    <w:rsid w:val="00734469"/>
    <w:rsid w:val="00734F65"/>
    <w:rsid w:val="007352F8"/>
    <w:rsid w:val="007356FC"/>
    <w:rsid w:val="00735CE3"/>
    <w:rsid w:val="0074101E"/>
    <w:rsid w:val="0074150A"/>
    <w:rsid w:val="00741A4D"/>
    <w:rsid w:val="00741FEC"/>
    <w:rsid w:val="007433D3"/>
    <w:rsid w:val="00743F1B"/>
    <w:rsid w:val="0074430F"/>
    <w:rsid w:val="007448B9"/>
    <w:rsid w:val="00746100"/>
    <w:rsid w:val="007468E9"/>
    <w:rsid w:val="00746BED"/>
    <w:rsid w:val="00747D71"/>
    <w:rsid w:val="00750288"/>
    <w:rsid w:val="007512E0"/>
    <w:rsid w:val="00751BF1"/>
    <w:rsid w:val="007537F1"/>
    <w:rsid w:val="00754358"/>
    <w:rsid w:val="00754B99"/>
    <w:rsid w:val="007567FF"/>
    <w:rsid w:val="00756DA9"/>
    <w:rsid w:val="0075794D"/>
    <w:rsid w:val="007608C8"/>
    <w:rsid w:val="00761696"/>
    <w:rsid w:val="00761834"/>
    <w:rsid w:val="007619E9"/>
    <w:rsid w:val="00761BB9"/>
    <w:rsid w:val="00761D56"/>
    <w:rsid w:val="007620D8"/>
    <w:rsid w:val="007631A8"/>
    <w:rsid w:val="00763A3F"/>
    <w:rsid w:val="0076420A"/>
    <w:rsid w:val="0076492F"/>
    <w:rsid w:val="00764D0F"/>
    <w:rsid w:val="00764ED5"/>
    <w:rsid w:val="007665AE"/>
    <w:rsid w:val="007665E7"/>
    <w:rsid w:val="00773845"/>
    <w:rsid w:val="00775364"/>
    <w:rsid w:val="007756AC"/>
    <w:rsid w:val="0077605D"/>
    <w:rsid w:val="007801FF"/>
    <w:rsid w:val="00780896"/>
    <w:rsid w:val="00780E48"/>
    <w:rsid w:val="00780FF2"/>
    <w:rsid w:val="007815A1"/>
    <w:rsid w:val="00783BF6"/>
    <w:rsid w:val="0078501F"/>
    <w:rsid w:val="00785229"/>
    <w:rsid w:val="00786AE8"/>
    <w:rsid w:val="00790806"/>
    <w:rsid w:val="0079186B"/>
    <w:rsid w:val="007919EE"/>
    <w:rsid w:val="007921AF"/>
    <w:rsid w:val="007923D7"/>
    <w:rsid w:val="0079299C"/>
    <w:rsid w:val="00792F10"/>
    <w:rsid w:val="00793312"/>
    <w:rsid w:val="00796A9E"/>
    <w:rsid w:val="00797087"/>
    <w:rsid w:val="00797687"/>
    <w:rsid w:val="007A0BE3"/>
    <w:rsid w:val="007A14F5"/>
    <w:rsid w:val="007A25AF"/>
    <w:rsid w:val="007A2767"/>
    <w:rsid w:val="007A30A5"/>
    <w:rsid w:val="007A3A45"/>
    <w:rsid w:val="007A57B5"/>
    <w:rsid w:val="007A5FB9"/>
    <w:rsid w:val="007A70C6"/>
    <w:rsid w:val="007B11D0"/>
    <w:rsid w:val="007B1CB5"/>
    <w:rsid w:val="007B27E9"/>
    <w:rsid w:val="007B2987"/>
    <w:rsid w:val="007B5B6E"/>
    <w:rsid w:val="007B6A8F"/>
    <w:rsid w:val="007B70D3"/>
    <w:rsid w:val="007C1116"/>
    <w:rsid w:val="007C3AA6"/>
    <w:rsid w:val="007C4EF2"/>
    <w:rsid w:val="007C55D4"/>
    <w:rsid w:val="007C6F65"/>
    <w:rsid w:val="007D093F"/>
    <w:rsid w:val="007D0BE8"/>
    <w:rsid w:val="007D1508"/>
    <w:rsid w:val="007D36CA"/>
    <w:rsid w:val="007D4C02"/>
    <w:rsid w:val="007D5920"/>
    <w:rsid w:val="007D6731"/>
    <w:rsid w:val="007D6837"/>
    <w:rsid w:val="007D7001"/>
    <w:rsid w:val="007D782F"/>
    <w:rsid w:val="007D7E87"/>
    <w:rsid w:val="007E1ECC"/>
    <w:rsid w:val="007E2A09"/>
    <w:rsid w:val="007E40DD"/>
    <w:rsid w:val="007E48EC"/>
    <w:rsid w:val="007E4D5F"/>
    <w:rsid w:val="007E7C73"/>
    <w:rsid w:val="007F0225"/>
    <w:rsid w:val="007F0AC8"/>
    <w:rsid w:val="007F0D7F"/>
    <w:rsid w:val="007F10CE"/>
    <w:rsid w:val="007F167C"/>
    <w:rsid w:val="007F2066"/>
    <w:rsid w:val="007F2B93"/>
    <w:rsid w:val="007F3367"/>
    <w:rsid w:val="007F4005"/>
    <w:rsid w:val="007F4093"/>
    <w:rsid w:val="007F473B"/>
    <w:rsid w:val="007F5137"/>
    <w:rsid w:val="007F64E9"/>
    <w:rsid w:val="007F7EFE"/>
    <w:rsid w:val="0080100B"/>
    <w:rsid w:val="008016B2"/>
    <w:rsid w:val="00802421"/>
    <w:rsid w:val="00802684"/>
    <w:rsid w:val="00804380"/>
    <w:rsid w:val="00804490"/>
    <w:rsid w:val="008049F3"/>
    <w:rsid w:val="00806B2A"/>
    <w:rsid w:val="00806B44"/>
    <w:rsid w:val="00810DA4"/>
    <w:rsid w:val="0081266C"/>
    <w:rsid w:val="00812D6B"/>
    <w:rsid w:val="00813597"/>
    <w:rsid w:val="0081375A"/>
    <w:rsid w:val="00814153"/>
    <w:rsid w:val="00814427"/>
    <w:rsid w:val="00814A29"/>
    <w:rsid w:val="008259B8"/>
    <w:rsid w:val="00825ADA"/>
    <w:rsid w:val="00825DEA"/>
    <w:rsid w:val="008269D1"/>
    <w:rsid w:val="00826DE2"/>
    <w:rsid w:val="008279A8"/>
    <w:rsid w:val="00827E59"/>
    <w:rsid w:val="00830547"/>
    <w:rsid w:val="0083160C"/>
    <w:rsid w:val="0083338A"/>
    <w:rsid w:val="00833923"/>
    <w:rsid w:val="00834CDA"/>
    <w:rsid w:val="008362EF"/>
    <w:rsid w:val="008367C0"/>
    <w:rsid w:val="00840F68"/>
    <w:rsid w:val="00843EBB"/>
    <w:rsid w:val="008443EB"/>
    <w:rsid w:val="00844E1C"/>
    <w:rsid w:val="00850104"/>
    <w:rsid w:val="00855674"/>
    <w:rsid w:val="00855963"/>
    <w:rsid w:val="00861A71"/>
    <w:rsid w:val="00861E88"/>
    <w:rsid w:val="0086291A"/>
    <w:rsid w:val="00862D4F"/>
    <w:rsid w:val="008630E5"/>
    <w:rsid w:val="00865ACD"/>
    <w:rsid w:val="0087024A"/>
    <w:rsid w:val="00871456"/>
    <w:rsid w:val="00871C4A"/>
    <w:rsid w:val="00872ABA"/>
    <w:rsid w:val="00872B47"/>
    <w:rsid w:val="00872FCE"/>
    <w:rsid w:val="00874EBD"/>
    <w:rsid w:val="008761FC"/>
    <w:rsid w:val="00876856"/>
    <w:rsid w:val="0087711A"/>
    <w:rsid w:val="0087788E"/>
    <w:rsid w:val="00877D2F"/>
    <w:rsid w:val="008800C1"/>
    <w:rsid w:val="00880F0C"/>
    <w:rsid w:val="00881137"/>
    <w:rsid w:val="00882B38"/>
    <w:rsid w:val="00883A75"/>
    <w:rsid w:val="00883B8A"/>
    <w:rsid w:val="00883F98"/>
    <w:rsid w:val="00884396"/>
    <w:rsid w:val="008843FC"/>
    <w:rsid w:val="008844EF"/>
    <w:rsid w:val="008862BD"/>
    <w:rsid w:val="008917E7"/>
    <w:rsid w:val="0089467B"/>
    <w:rsid w:val="008962E9"/>
    <w:rsid w:val="0089653C"/>
    <w:rsid w:val="008A0DE6"/>
    <w:rsid w:val="008A1FF5"/>
    <w:rsid w:val="008A233D"/>
    <w:rsid w:val="008A237E"/>
    <w:rsid w:val="008A2781"/>
    <w:rsid w:val="008A38B1"/>
    <w:rsid w:val="008A447D"/>
    <w:rsid w:val="008A4AF5"/>
    <w:rsid w:val="008A62A5"/>
    <w:rsid w:val="008A6E9A"/>
    <w:rsid w:val="008A7E2E"/>
    <w:rsid w:val="008B09A1"/>
    <w:rsid w:val="008B1756"/>
    <w:rsid w:val="008B18AE"/>
    <w:rsid w:val="008B3124"/>
    <w:rsid w:val="008B39B8"/>
    <w:rsid w:val="008B4C8D"/>
    <w:rsid w:val="008B6595"/>
    <w:rsid w:val="008B6744"/>
    <w:rsid w:val="008B6BED"/>
    <w:rsid w:val="008B72A5"/>
    <w:rsid w:val="008B7762"/>
    <w:rsid w:val="008C03E2"/>
    <w:rsid w:val="008C0421"/>
    <w:rsid w:val="008C1918"/>
    <w:rsid w:val="008C1A51"/>
    <w:rsid w:val="008C2A4A"/>
    <w:rsid w:val="008C2CCD"/>
    <w:rsid w:val="008C2F29"/>
    <w:rsid w:val="008C4675"/>
    <w:rsid w:val="008C4AD0"/>
    <w:rsid w:val="008C50D3"/>
    <w:rsid w:val="008C5E4E"/>
    <w:rsid w:val="008C5E56"/>
    <w:rsid w:val="008C5F9A"/>
    <w:rsid w:val="008C6B30"/>
    <w:rsid w:val="008D29F5"/>
    <w:rsid w:val="008D3033"/>
    <w:rsid w:val="008D307E"/>
    <w:rsid w:val="008D3E25"/>
    <w:rsid w:val="008D493B"/>
    <w:rsid w:val="008D4A7C"/>
    <w:rsid w:val="008D51DA"/>
    <w:rsid w:val="008D53A9"/>
    <w:rsid w:val="008D5615"/>
    <w:rsid w:val="008D5F0D"/>
    <w:rsid w:val="008D683A"/>
    <w:rsid w:val="008E0359"/>
    <w:rsid w:val="008E0805"/>
    <w:rsid w:val="008E0FFB"/>
    <w:rsid w:val="008E11F0"/>
    <w:rsid w:val="008E260D"/>
    <w:rsid w:val="008E2B4D"/>
    <w:rsid w:val="008E3094"/>
    <w:rsid w:val="008E3295"/>
    <w:rsid w:val="008E3532"/>
    <w:rsid w:val="008E392B"/>
    <w:rsid w:val="008E55EA"/>
    <w:rsid w:val="008E5926"/>
    <w:rsid w:val="008E74A4"/>
    <w:rsid w:val="008E75C5"/>
    <w:rsid w:val="008E7887"/>
    <w:rsid w:val="008E7E6E"/>
    <w:rsid w:val="008F1194"/>
    <w:rsid w:val="008F1816"/>
    <w:rsid w:val="008F1884"/>
    <w:rsid w:val="008F20AA"/>
    <w:rsid w:val="008F20FA"/>
    <w:rsid w:val="008F237A"/>
    <w:rsid w:val="008F2796"/>
    <w:rsid w:val="008F29A9"/>
    <w:rsid w:val="008F34D3"/>
    <w:rsid w:val="008F43A0"/>
    <w:rsid w:val="008F4702"/>
    <w:rsid w:val="008F5DDE"/>
    <w:rsid w:val="008F5F55"/>
    <w:rsid w:val="008F66A7"/>
    <w:rsid w:val="008F688C"/>
    <w:rsid w:val="008F6A2F"/>
    <w:rsid w:val="008F6B5E"/>
    <w:rsid w:val="008F755E"/>
    <w:rsid w:val="008F79D0"/>
    <w:rsid w:val="009008B1"/>
    <w:rsid w:val="009014E6"/>
    <w:rsid w:val="00902015"/>
    <w:rsid w:val="00903531"/>
    <w:rsid w:val="00903F29"/>
    <w:rsid w:val="00904A65"/>
    <w:rsid w:val="00904DDB"/>
    <w:rsid w:val="00905793"/>
    <w:rsid w:val="00906451"/>
    <w:rsid w:val="00907263"/>
    <w:rsid w:val="0090768C"/>
    <w:rsid w:val="009123F6"/>
    <w:rsid w:val="00913E2A"/>
    <w:rsid w:val="00913F4D"/>
    <w:rsid w:val="0091468D"/>
    <w:rsid w:val="0091475E"/>
    <w:rsid w:val="00916155"/>
    <w:rsid w:val="009163B6"/>
    <w:rsid w:val="00916B61"/>
    <w:rsid w:val="00917ED2"/>
    <w:rsid w:val="00917F42"/>
    <w:rsid w:val="00920F99"/>
    <w:rsid w:val="009217A9"/>
    <w:rsid w:val="00922F1E"/>
    <w:rsid w:val="00922F29"/>
    <w:rsid w:val="009231E6"/>
    <w:rsid w:val="00924ED9"/>
    <w:rsid w:val="009274FA"/>
    <w:rsid w:val="0093042C"/>
    <w:rsid w:val="00930453"/>
    <w:rsid w:val="00931316"/>
    <w:rsid w:val="00931AD6"/>
    <w:rsid w:val="00933086"/>
    <w:rsid w:val="00934A0F"/>
    <w:rsid w:val="00937ED6"/>
    <w:rsid w:val="009406E7"/>
    <w:rsid w:val="00940B04"/>
    <w:rsid w:val="00941217"/>
    <w:rsid w:val="00942681"/>
    <w:rsid w:val="00943948"/>
    <w:rsid w:val="00944AB3"/>
    <w:rsid w:val="00946893"/>
    <w:rsid w:val="00946D10"/>
    <w:rsid w:val="00950141"/>
    <w:rsid w:val="00950840"/>
    <w:rsid w:val="00950BCE"/>
    <w:rsid w:val="00950FC7"/>
    <w:rsid w:val="00953FB3"/>
    <w:rsid w:val="0095455D"/>
    <w:rsid w:val="0095482D"/>
    <w:rsid w:val="009563AA"/>
    <w:rsid w:val="0095738C"/>
    <w:rsid w:val="00957540"/>
    <w:rsid w:val="009617F6"/>
    <w:rsid w:val="009623A4"/>
    <w:rsid w:val="00964C1A"/>
    <w:rsid w:val="0096515A"/>
    <w:rsid w:val="00965C79"/>
    <w:rsid w:val="00966601"/>
    <w:rsid w:val="00967094"/>
    <w:rsid w:val="00970079"/>
    <w:rsid w:val="009700A9"/>
    <w:rsid w:val="00970A79"/>
    <w:rsid w:val="00973C9C"/>
    <w:rsid w:val="009752BD"/>
    <w:rsid w:val="009758CF"/>
    <w:rsid w:val="009773CD"/>
    <w:rsid w:val="00981C20"/>
    <w:rsid w:val="00983BCE"/>
    <w:rsid w:val="00983DEA"/>
    <w:rsid w:val="0098672A"/>
    <w:rsid w:val="00986870"/>
    <w:rsid w:val="009875D0"/>
    <w:rsid w:val="00990141"/>
    <w:rsid w:val="00990D6F"/>
    <w:rsid w:val="0099157D"/>
    <w:rsid w:val="009920BF"/>
    <w:rsid w:val="0099378B"/>
    <w:rsid w:val="00993A67"/>
    <w:rsid w:val="00994D7F"/>
    <w:rsid w:val="009962A0"/>
    <w:rsid w:val="0099644E"/>
    <w:rsid w:val="00996F8C"/>
    <w:rsid w:val="00996FEE"/>
    <w:rsid w:val="009A0627"/>
    <w:rsid w:val="009A44CB"/>
    <w:rsid w:val="009A454D"/>
    <w:rsid w:val="009A472B"/>
    <w:rsid w:val="009A572A"/>
    <w:rsid w:val="009A5C14"/>
    <w:rsid w:val="009A7763"/>
    <w:rsid w:val="009A7B95"/>
    <w:rsid w:val="009B05E8"/>
    <w:rsid w:val="009B05F1"/>
    <w:rsid w:val="009B1165"/>
    <w:rsid w:val="009B126C"/>
    <w:rsid w:val="009B142C"/>
    <w:rsid w:val="009B2CF2"/>
    <w:rsid w:val="009B30DC"/>
    <w:rsid w:val="009B38A2"/>
    <w:rsid w:val="009B45E7"/>
    <w:rsid w:val="009B493A"/>
    <w:rsid w:val="009B4DE3"/>
    <w:rsid w:val="009B6612"/>
    <w:rsid w:val="009B6A55"/>
    <w:rsid w:val="009C0694"/>
    <w:rsid w:val="009C158C"/>
    <w:rsid w:val="009C196E"/>
    <w:rsid w:val="009C3B52"/>
    <w:rsid w:val="009C3CA6"/>
    <w:rsid w:val="009C4A6F"/>
    <w:rsid w:val="009C6025"/>
    <w:rsid w:val="009C67E7"/>
    <w:rsid w:val="009C6A10"/>
    <w:rsid w:val="009C791B"/>
    <w:rsid w:val="009D0B9C"/>
    <w:rsid w:val="009D10BC"/>
    <w:rsid w:val="009D18A0"/>
    <w:rsid w:val="009D1BEE"/>
    <w:rsid w:val="009D1EF0"/>
    <w:rsid w:val="009D2082"/>
    <w:rsid w:val="009D478F"/>
    <w:rsid w:val="009D479C"/>
    <w:rsid w:val="009D5125"/>
    <w:rsid w:val="009D5ED6"/>
    <w:rsid w:val="009D69A8"/>
    <w:rsid w:val="009D705F"/>
    <w:rsid w:val="009D73BF"/>
    <w:rsid w:val="009D7BE9"/>
    <w:rsid w:val="009D7BFB"/>
    <w:rsid w:val="009D7E79"/>
    <w:rsid w:val="009E08AF"/>
    <w:rsid w:val="009E1143"/>
    <w:rsid w:val="009E161E"/>
    <w:rsid w:val="009E1D60"/>
    <w:rsid w:val="009E2925"/>
    <w:rsid w:val="009E3549"/>
    <w:rsid w:val="009E409E"/>
    <w:rsid w:val="009E4AE4"/>
    <w:rsid w:val="009E6019"/>
    <w:rsid w:val="009E62C5"/>
    <w:rsid w:val="009E63C4"/>
    <w:rsid w:val="009E7131"/>
    <w:rsid w:val="009E78FC"/>
    <w:rsid w:val="009E7ADE"/>
    <w:rsid w:val="009F0065"/>
    <w:rsid w:val="009F0651"/>
    <w:rsid w:val="009F0908"/>
    <w:rsid w:val="009F1BCB"/>
    <w:rsid w:val="009F2488"/>
    <w:rsid w:val="009F421F"/>
    <w:rsid w:val="009F4370"/>
    <w:rsid w:val="009F62DB"/>
    <w:rsid w:val="009F6E81"/>
    <w:rsid w:val="009F7321"/>
    <w:rsid w:val="00A00194"/>
    <w:rsid w:val="00A02556"/>
    <w:rsid w:val="00A02BF2"/>
    <w:rsid w:val="00A031F9"/>
    <w:rsid w:val="00A039A5"/>
    <w:rsid w:val="00A058A2"/>
    <w:rsid w:val="00A05A0B"/>
    <w:rsid w:val="00A05E0C"/>
    <w:rsid w:val="00A12FE6"/>
    <w:rsid w:val="00A135CC"/>
    <w:rsid w:val="00A13DD2"/>
    <w:rsid w:val="00A14944"/>
    <w:rsid w:val="00A2017E"/>
    <w:rsid w:val="00A206EC"/>
    <w:rsid w:val="00A2337E"/>
    <w:rsid w:val="00A24A28"/>
    <w:rsid w:val="00A24FA6"/>
    <w:rsid w:val="00A2547A"/>
    <w:rsid w:val="00A261BA"/>
    <w:rsid w:val="00A27D3C"/>
    <w:rsid w:val="00A3030B"/>
    <w:rsid w:val="00A32DAE"/>
    <w:rsid w:val="00A33C0F"/>
    <w:rsid w:val="00A3639E"/>
    <w:rsid w:val="00A3659C"/>
    <w:rsid w:val="00A40328"/>
    <w:rsid w:val="00A403A8"/>
    <w:rsid w:val="00A404B2"/>
    <w:rsid w:val="00A41901"/>
    <w:rsid w:val="00A428F3"/>
    <w:rsid w:val="00A446D4"/>
    <w:rsid w:val="00A4582E"/>
    <w:rsid w:val="00A466C5"/>
    <w:rsid w:val="00A472C5"/>
    <w:rsid w:val="00A50CD1"/>
    <w:rsid w:val="00A52008"/>
    <w:rsid w:val="00A528CC"/>
    <w:rsid w:val="00A52EF0"/>
    <w:rsid w:val="00A53CE6"/>
    <w:rsid w:val="00A5472F"/>
    <w:rsid w:val="00A54C4F"/>
    <w:rsid w:val="00A54C94"/>
    <w:rsid w:val="00A560DE"/>
    <w:rsid w:val="00A56F02"/>
    <w:rsid w:val="00A57FD5"/>
    <w:rsid w:val="00A615FC"/>
    <w:rsid w:val="00A62028"/>
    <w:rsid w:val="00A6320B"/>
    <w:rsid w:val="00A6358D"/>
    <w:rsid w:val="00A63F2B"/>
    <w:rsid w:val="00A63FA3"/>
    <w:rsid w:val="00A643BD"/>
    <w:rsid w:val="00A64491"/>
    <w:rsid w:val="00A644BC"/>
    <w:rsid w:val="00A6528A"/>
    <w:rsid w:val="00A666EB"/>
    <w:rsid w:val="00A66DA4"/>
    <w:rsid w:val="00A67944"/>
    <w:rsid w:val="00A7441C"/>
    <w:rsid w:val="00A75036"/>
    <w:rsid w:val="00A7606A"/>
    <w:rsid w:val="00A7702A"/>
    <w:rsid w:val="00A80332"/>
    <w:rsid w:val="00A80D18"/>
    <w:rsid w:val="00A81274"/>
    <w:rsid w:val="00A84413"/>
    <w:rsid w:val="00A85069"/>
    <w:rsid w:val="00A851D3"/>
    <w:rsid w:val="00A85C99"/>
    <w:rsid w:val="00A86059"/>
    <w:rsid w:val="00A8682A"/>
    <w:rsid w:val="00A877EA"/>
    <w:rsid w:val="00A90434"/>
    <w:rsid w:val="00A90848"/>
    <w:rsid w:val="00A90C30"/>
    <w:rsid w:val="00A90D5D"/>
    <w:rsid w:val="00A919A8"/>
    <w:rsid w:val="00A93FBF"/>
    <w:rsid w:val="00A95E04"/>
    <w:rsid w:val="00A9702D"/>
    <w:rsid w:val="00A97794"/>
    <w:rsid w:val="00A97AED"/>
    <w:rsid w:val="00AA09CE"/>
    <w:rsid w:val="00AA109A"/>
    <w:rsid w:val="00AA184D"/>
    <w:rsid w:val="00AA216E"/>
    <w:rsid w:val="00AA3ADF"/>
    <w:rsid w:val="00AA4945"/>
    <w:rsid w:val="00AA4F18"/>
    <w:rsid w:val="00AA7490"/>
    <w:rsid w:val="00AA7DEE"/>
    <w:rsid w:val="00AA7EB9"/>
    <w:rsid w:val="00AA7FB3"/>
    <w:rsid w:val="00AB0321"/>
    <w:rsid w:val="00AB0C10"/>
    <w:rsid w:val="00AB21EA"/>
    <w:rsid w:val="00AB22C2"/>
    <w:rsid w:val="00AB29DA"/>
    <w:rsid w:val="00AB2D5C"/>
    <w:rsid w:val="00AB51C0"/>
    <w:rsid w:val="00AB538D"/>
    <w:rsid w:val="00AB6073"/>
    <w:rsid w:val="00AB67E3"/>
    <w:rsid w:val="00AB70F7"/>
    <w:rsid w:val="00AC0AB2"/>
    <w:rsid w:val="00AC12F5"/>
    <w:rsid w:val="00AC250D"/>
    <w:rsid w:val="00AC37A1"/>
    <w:rsid w:val="00AC3C5D"/>
    <w:rsid w:val="00AC5006"/>
    <w:rsid w:val="00AC56CE"/>
    <w:rsid w:val="00AC59CF"/>
    <w:rsid w:val="00AC604F"/>
    <w:rsid w:val="00AC71B2"/>
    <w:rsid w:val="00AD0495"/>
    <w:rsid w:val="00AD2F15"/>
    <w:rsid w:val="00AD4224"/>
    <w:rsid w:val="00AD4E75"/>
    <w:rsid w:val="00AD6DC7"/>
    <w:rsid w:val="00AD74C8"/>
    <w:rsid w:val="00AE1909"/>
    <w:rsid w:val="00AE3181"/>
    <w:rsid w:val="00AE357C"/>
    <w:rsid w:val="00AE7EDF"/>
    <w:rsid w:val="00AF07F9"/>
    <w:rsid w:val="00AF11AA"/>
    <w:rsid w:val="00AF165B"/>
    <w:rsid w:val="00AF3257"/>
    <w:rsid w:val="00AF3D16"/>
    <w:rsid w:val="00AF3D8D"/>
    <w:rsid w:val="00AF4186"/>
    <w:rsid w:val="00B01969"/>
    <w:rsid w:val="00B04BED"/>
    <w:rsid w:val="00B06368"/>
    <w:rsid w:val="00B0750E"/>
    <w:rsid w:val="00B0771E"/>
    <w:rsid w:val="00B10470"/>
    <w:rsid w:val="00B10AEC"/>
    <w:rsid w:val="00B11217"/>
    <w:rsid w:val="00B12515"/>
    <w:rsid w:val="00B1525D"/>
    <w:rsid w:val="00B15C55"/>
    <w:rsid w:val="00B16963"/>
    <w:rsid w:val="00B2044E"/>
    <w:rsid w:val="00B21902"/>
    <w:rsid w:val="00B232D8"/>
    <w:rsid w:val="00B234B3"/>
    <w:rsid w:val="00B24E70"/>
    <w:rsid w:val="00B24FA2"/>
    <w:rsid w:val="00B304AF"/>
    <w:rsid w:val="00B30678"/>
    <w:rsid w:val="00B30BB7"/>
    <w:rsid w:val="00B320FF"/>
    <w:rsid w:val="00B32B9E"/>
    <w:rsid w:val="00B32FB1"/>
    <w:rsid w:val="00B35AFE"/>
    <w:rsid w:val="00B372E0"/>
    <w:rsid w:val="00B40329"/>
    <w:rsid w:val="00B40B8D"/>
    <w:rsid w:val="00B40C88"/>
    <w:rsid w:val="00B4103B"/>
    <w:rsid w:val="00B41973"/>
    <w:rsid w:val="00B42C23"/>
    <w:rsid w:val="00B432A2"/>
    <w:rsid w:val="00B45440"/>
    <w:rsid w:val="00B45C36"/>
    <w:rsid w:val="00B5466A"/>
    <w:rsid w:val="00B546E5"/>
    <w:rsid w:val="00B54E07"/>
    <w:rsid w:val="00B565C8"/>
    <w:rsid w:val="00B57F78"/>
    <w:rsid w:val="00B62F9E"/>
    <w:rsid w:val="00B66641"/>
    <w:rsid w:val="00B67EAB"/>
    <w:rsid w:val="00B67ED0"/>
    <w:rsid w:val="00B70E53"/>
    <w:rsid w:val="00B71451"/>
    <w:rsid w:val="00B74278"/>
    <w:rsid w:val="00B74705"/>
    <w:rsid w:val="00B74730"/>
    <w:rsid w:val="00B75149"/>
    <w:rsid w:val="00B75C22"/>
    <w:rsid w:val="00B803D6"/>
    <w:rsid w:val="00B83257"/>
    <w:rsid w:val="00B90291"/>
    <w:rsid w:val="00B903E3"/>
    <w:rsid w:val="00B90D14"/>
    <w:rsid w:val="00B911C2"/>
    <w:rsid w:val="00B91DF8"/>
    <w:rsid w:val="00B92A03"/>
    <w:rsid w:val="00B92ABE"/>
    <w:rsid w:val="00B92C72"/>
    <w:rsid w:val="00B9302A"/>
    <w:rsid w:val="00B93396"/>
    <w:rsid w:val="00B93CEE"/>
    <w:rsid w:val="00B9459E"/>
    <w:rsid w:val="00B94B20"/>
    <w:rsid w:val="00B95300"/>
    <w:rsid w:val="00B9543E"/>
    <w:rsid w:val="00B9594C"/>
    <w:rsid w:val="00B96F03"/>
    <w:rsid w:val="00B9734C"/>
    <w:rsid w:val="00BA0B05"/>
    <w:rsid w:val="00BA1C6F"/>
    <w:rsid w:val="00BA207D"/>
    <w:rsid w:val="00BA314C"/>
    <w:rsid w:val="00BA4235"/>
    <w:rsid w:val="00BA6C1F"/>
    <w:rsid w:val="00BB1E94"/>
    <w:rsid w:val="00BB4172"/>
    <w:rsid w:val="00BB57F4"/>
    <w:rsid w:val="00BB64DA"/>
    <w:rsid w:val="00BB66E4"/>
    <w:rsid w:val="00BB7712"/>
    <w:rsid w:val="00BC177D"/>
    <w:rsid w:val="00BC1A41"/>
    <w:rsid w:val="00BC2114"/>
    <w:rsid w:val="00BC2908"/>
    <w:rsid w:val="00BC3FC3"/>
    <w:rsid w:val="00BC5224"/>
    <w:rsid w:val="00BC6BAB"/>
    <w:rsid w:val="00BC6FDF"/>
    <w:rsid w:val="00BC7AE4"/>
    <w:rsid w:val="00BC7D79"/>
    <w:rsid w:val="00BD02DD"/>
    <w:rsid w:val="00BD09E2"/>
    <w:rsid w:val="00BD196C"/>
    <w:rsid w:val="00BD2E62"/>
    <w:rsid w:val="00BD4327"/>
    <w:rsid w:val="00BD4484"/>
    <w:rsid w:val="00BD4A4B"/>
    <w:rsid w:val="00BD4C27"/>
    <w:rsid w:val="00BD6E92"/>
    <w:rsid w:val="00BE0F25"/>
    <w:rsid w:val="00BE127D"/>
    <w:rsid w:val="00BE274E"/>
    <w:rsid w:val="00BE336C"/>
    <w:rsid w:val="00BE3ADC"/>
    <w:rsid w:val="00BE445D"/>
    <w:rsid w:val="00BE4D2C"/>
    <w:rsid w:val="00BE7F6B"/>
    <w:rsid w:val="00BF0382"/>
    <w:rsid w:val="00BF082E"/>
    <w:rsid w:val="00BF1E0A"/>
    <w:rsid w:val="00BF27E9"/>
    <w:rsid w:val="00BF2A73"/>
    <w:rsid w:val="00BF38FD"/>
    <w:rsid w:val="00BF3947"/>
    <w:rsid w:val="00BF5B30"/>
    <w:rsid w:val="00BF5C4C"/>
    <w:rsid w:val="00BF6F76"/>
    <w:rsid w:val="00C02978"/>
    <w:rsid w:val="00C034A9"/>
    <w:rsid w:val="00C03859"/>
    <w:rsid w:val="00C043E8"/>
    <w:rsid w:val="00C05E01"/>
    <w:rsid w:val="00C05E42"/>
    <w:rsid w:val="00C063F1"/>
    <w:rsid w:val="00C078BD"/>
    <w:rsid w:val="00C07CD2"/>
    <w:rsid w:val="00C11973"/>
    <w:rsid w:val="00C11A47"/>
    <w:rsid w:val="00C12098"/>
    <w:rsid w:val="00C13805"/>
    <w:rsid w:val="00C15CA6"/>
    <w:rsid w:val="00C16807"/>
    <w:rsid w:val="00C2025F"/>
    <w:rsid w:val="00C21021"/>
    <w:rsid w:val="00C2167D"/>
    <w:rsid w:val="00C21BCC"/>
    <w:rsid w:val="00C2403A"/>
    <w:rsid w:val="00C240EF"/>
    <w:rsid w:val="00C24CC2"/>
    <w:rsid w:val="00C266D3"/>
    <w:rsid w:val="00C266DA"/>
    <w:rsid w:val="00C26FE9"/>
    <w:rsid w:val="00C27D03"/>
    <w:rsid w:val="00C304DA"/>
    <w:rsid w:val="00C31095"/>
    <w:rsid w:val="00C32321"/>
    <w:rsid w:val="00C3296F"/>
    <w:rsid w:val="00C341D8"/>
    <w:rsid w:val="00C349F0"/>
    <w:rsid w:val="00C34A1E"/>
    <w:rsid w:val="00C3720B"/>
    <w:rsid w:val="00C374F8"/>
    <w:rsid w:val="00C37781"/>
    <w:rsid w:val="00C41423"/>
    <w:rsid w:val="00C4334F"/>
    <w:rsid w:val="00C4434A"/>
    <w:rsid w:val="00C4485D"/>
    <w:rsid w:val="00C44974"/>
    <w:rsid w:val="00C44E9E"/>
    <w:rsid w:val="00C46098"/>
    <w:rsid w:val="00C46439"/>
    <w:rsid w:val="00C465CE"/>
    <w:rsid w:val="00C46A90"/>
    <w:rsid w:val="00C46B32"/>
    <w:rsid w:val="00C47A26"/>
    <w:rsid w:val="00C50E1F"/>
    <w:rsid w:val="00C516EC"/>
    <w:rsid w:val="00C517FD"/>
    <w:rsid w:val="00C53DC9"/>
    <w:rsid w:val="00C55A0A"/>
    <w:rsid w:val="00C571A9"/>
    <w:rsid w:val="00C61083"/>
    <w:rsid w:val="00C615A7"/>
    <w:rsid w:val="00C616BF"/>
    <w:rsid w:val="00C62C5D"/>
    <w:rsid w:val="00C646CF"/>
    <w:rsid w:val="00C64873"/>
    <w:rsid w:val="00C65A0A"/>
    <w:rsid w:val="00C65D1C"/>
    <w:rsid w:val="00C66628"/>
    <w:rsid w:val="00C67FAD"/>
    <w:rsid w:val="00C7004C"/>
    <w:rsid w:val="00C711C5"/>
    <w:rsid w:val="00C7335C"/>
    <w:rsid w:val="00C73C13"/>
    <w:rsid w:val="00C7422F"/>
    <w:rsid w:val="00C74528"/>
    <w:rsid w:val="00C74812"/>
    <w:rsid w:val="00C751BF"/>
    <w:rsid w:val="00C75AEB"/>
    <w:rsid w:val="00C762F7"/>
    <w:rsid w:val="00C7651A"/>
    <w:rsid w:val="00C77280"/>
    <w:rsid w:val="00C77C83"/>
    <w:rsid w:val="00C812AA"/>
    <w:rsid w:val="00C817E6"/>
    <w:rsid w:val="00C81AD1"/>
    <w:rsid w:val="00C82138"/>
    <w:rsid w:val="00C82CB6"/>
    <w:rsid w:val="00C83111"/>
    <w:rsid w:val="00C84265"/>
    <w:rsid w:val="00C84ED5"/>
    <w:rsid w:val="00C858DB"/>
    <w:rsid w:val="00C9070B"/>
    <w:rsid w:val="00C909ED"/>
    <w:rsid w:val="00C94791"/>
    <w:rsid w:val="00C95057"/>
    <w:rsid w:val="00C95700"/>
    <w:rsid w:val="00C96465"/>
    <w:rsid w:val="00C96D0A"/>
    <w:rsid w:val="00CA001B"/>
    <w:rsid w:val="00CA01AD"/>
    <w:rsid w:val="00CA061E"/>
    <w:rsid w:val="00CA1130"/>
    <w:rsid w:val="00CA2625"/>
    <w:rsid w:val="00CA3024"/>
    <w:rsid w:val="00CA3E46"/>
    <w:rsid w:val="00CA434D"/>
    <w:rsid w:val="00CA5458"/>
    <w:rsid w:val="00CA5475"/>
    <w:rsid w:val="00CA5DE4"/>
    <w:rsid w:val="00CA5E21"/>
    <w:rsid w:val="00CA6474"/>
    <w:rsid w:val="00CA6B9A"/>
    <w:rsid w:val="00CA6FE3"/>
    <w:rsid w:val="00CA7B7F"/>
    <w:rsid w:val="00CB0C96"/>
    <w:rsid w:val="00CB19DA"/>
    <w:rsid w:val="00CB1BF5"/>
    <w:rsid w:val="00CB2FA5"/>
    <w:rsid w:val="00CB44F6"/>
    <w:rsid w:val="00CB51FF"/>
    <w:rsid w:val="00CC0334"/>
    <w:rsid w:val="00CC1692"/>
    <w:rsid w:val="00CC1B8B"/>
    <w:rsid w:val="00CC1DF5"/>
    <w:rsid w:val="00CC1EAD"/>
    <w:rsid w:val="00CC311A"/>
    <w:rsid w:val="00CC3A59"/>
    <w:rsid w:val="00CC3C03"/>
    <w:rsid w:val="00CC4253"/>
    <w:rsid w:val="00CC4804"/>
    <w:rsid w:val="00CC5133"/>
    <w:rsid w:val="00CC54EB"/>
    <w:rsid w:val="00CC5F27"/>
    <w:rsid w:val="00CC63FE"/>
    <w:rsid w:val="00CC7437"/>
    <w:rsid w:val="00CD06C1"/>
    <w:rsid w:val="00CD20E1"/>
    <w:rsid w:val="00CD3BBB"/>
    <w:rsid w:val="00CD3C54"/>
    <w:rsid w:val="00CD7AAD"/>
    <w:rsid w:val="00CD7F31"/>
    <w:rsid w:val="00CE21A4"/>
    <w:rsid w:val="00CE325F"/>
    <w:rsid w:val="00CE3521"/>
    <w:rsid w:val="00CE3A2A"/>
    <w:rsid w:val="00CE5723"/>
    <w:rsid w:val="00CE63AA"/>
    <w:rsid w:val="00CE6DB3"/>
    <w:rsid w:val="00CF1168"/>
    <w:rsid w:val="00CF1C88"/>
    <w:rsid w:val="00CF3020"/>
    <w:rsid w:val="00CF3034"/>
    <w:rsid w:val="00CF3608"/>
    <w:rsid w:val="00CF3FC7"/>
    <w:rsid w:val="00CF5493"/>
    <w:rsid w:val="00CF5603"/>
    <w:rsid w:val="00CF67D8"/>
    <w:rsid w:val="00CF694E"/>
    <w:rsid w:val="00CF6B80"/>
    <w:rsid w:val="00CF6BF4"/>
    <w:rsid w:val="00CF7DE9"/>
    <w:rsid w:val="00D01398"/>
    <w:rsid w:val="00D0189D"/>
    <w:rsid w:val="00D02427"/>
    <w:rsid w:val="00D0403A"/>
    <w:rsid w:val="00D04528"/>
    <w:rsid w:val="00D050BA"/>
    <w:rsid w:val="00D05E32"/>
    <w:rsid w:val="00D06FC6"/>
    <w:rsid w:val="00D11CE7"/>
    <w:rsid w:val="00D12281"/>
    <w:rsid w:val="00D12A9E"/>
    <w:rsid w:val="00D14D03"/>
    <w:rsid w:val="00D15813"/>
    <w:rsid w:val="00D176D6"/>
    <w:rsid w:val="00D21F17"/>
    <w:rsid w:val="00D225A9"/>
    <w:rsid w:val="00D231C5"/>
    <w:rsid w:val="00D2772F"/>
    <w:rsid w:val="00D3079F"/>
    <w:rsid w:val="00D30C5E"/>
    <w:rsid w:val="00D3100A"/>
    <w:rsid w:val="00D312EB"/>
    <w:rsid w:val="00D332A8"/>
    <w:rsid w:val="00D3348F"/>
    <w:rsid w:val="00D3413F"/>
    <w:rsid w:val="00D3483B"/>
    <w:rsid w:val="00D3497A"/>
    <w:rsid w:val="00D35343"/>
    <w:rsid w:val="00D36A2A"/>
    <w:rsid w:val="00D373B0"/>
    <w:rsid w:val="00D4142C"/>
    <w:rsid w:val="00D4229B"/>
    <w:rsid w:val="00D4309A"/>
    <w:rsid w:val="00D446B4"/>
    <w:rsid w:val="00D45C32"/>
    <w:rsid w:val="00D462AD"/>
    <w:rsid w:val="00D46FF7"/>
    <w:rsid w:val="00D47431"/>
    <w:rsid w:val="00D47961"/>
    <w:rsid w:val="00D47AD5"/>
    <w:rsid w:val="00D518C3"/>
    <w:rsid w:val="00D51C09"/>
    <w:rsid w:val="00D51D3D"/>
    <w:rsid w:val="00D532C6"/>
    <w:rsid w:val="00D53F25"/>
    <w:rsid w:val="00D5426B"/>
    <w:rsid w:val="00D55010"/>
    <w:rsid w:val="00D5599A"/>
    <w:rsid w:val="00D55B21"/>
    <w:rsid w:val="00D569AD"/>
    <w:rsid w:val="00D57FB7"/>
    <w:rsid w:val="00D605E5"/>
    <w:rsid w:val="00D6268B"/>
    <w:rsid w:val="00D62A8B"/>
    <w:rsid w:val="00D6388B"/>
    <w:rsid w:val="00D65D14"/>
    <w:rsid w:val="00D663BB"/>
    <w:rsid w:val="00D664C7"/>
    <w:rsid w:val="00D71595"/>
    <w:rsid w:val="00D71B33"/>
    <w:rsid w:val="00D740F4"/>
    <w:rsid w:val="00D75900"/>
    <w:rsid w:val="00D802FD"/>
    <w:rsid w:val="00D814B5"/>
    <w:rsid w:val="00D869C5"/>
    <w:rsid w:val="00D86B41"/>
    <w:rsid w:val="00D871E5"/>
    <w:rsid w:val="00D87EE8"/>
    <w:rsid w:val="00D92BE8"/>
    <w:rsid w:val="00D932E1"/>
    <w:rsid w:val="00D937A6"/>
    <w:rsid w:val="00D94A5A"/>
    <w:rsid w:val="00D95258"/>
    <w:rsid w:val="00D9626A"/>
    <w:rsid w:val="00DA0427"/>
    <w:rsid w:val="00DA05B7"/>
    <w:rsid w:val="00DA1B0F"/>
    <w:rsid w:val="00DA1E39"/>
    <w:rsid w:val="00DA2171"/>
    <w:rsid w:val="00DA266F"/>
    <w:rsid w:val="00DA2928"/>
    <w:rsid w:val="00DA3AE2"/>
    <w:rsid w:val="00DA3B33"/>
    <w:rsid w:val="00DA42A3"/>
    <w:rsid w:val="00DA5B4D"/>
    <w:rsid w:val="00DA7075"/>
    <w:rsid w:val="00DA74A2"/>
    <w:rsid w:val="00DA7BCE"/>
    <w:rsid w:val="00DB0BBC"/>
    <w:rsid w:val="00DB191E"/>
    <w:rsid w:val="00DB5704"/>
    <w:rsid w:val="00DB6664"/>
    <w:rsid w:val="00DB73FB"/>
    <w:rsid w:val="00DB77E6"/>
    <w:rsid w:val="00DB7CD4"/>
    <w:rsid w:val="00DC02BF"/>
    <w:rsid w:val="00DC0DBE"/>
    <w:rsid w:val="00DC3423"/>
    <w:rsid w:val="00DC429D"/>
    <w:rsid w:val="00DC456A"/>
    <w:rsid w:val="00DC497E"/>
    <w:rsid w:val="00DC6E17"/>
    <w:rsid w:val="00DC6F8F"/>
    <w:rsid w:val="00DC7C69"/>
    <w:rsid w:val="00DD26B7"/>
    <w:rsid w:val="00DD35D4"/>
    <w:rsid w:val="00DD4CFC"/>
    <w:rsid w:val="00DD4DCA"/>
    <w:rsid w:val="00DD5CCB"/>
    <w:rsid w:val="00DD6003"/>
    <w:rsid w:val="00DD7B1D"/>
    <w:rsid w:val="00DE1A4C"/>
    <w:rsid w:val="00DE285A"/>
    <w:rsid w:val="00DE2F3F"/>
    <w:rsid w:val="00DE3645"/>
    <w:rsid w:val="00DE378A"/>
    <w:rsid w:val="00DE3973"/>
    <w:rsid w:val="00DE3B25"/>
    <w:rsid w:val="00DE4C19"/>
    <w:rsid w:val="00DE5417"/>
    <w:rsid w:val="00DE5630"/>
    <w:rsid w:val="00DE7227"/>
    <w:rsid w:val="00DE76FC"/>
    <w:rsid w:val="00DF2891"/>
    <w:rsid w:val="00DF355A"/>
    <w:rsid w:val="00DF3789"/>
    <w:rsid w:val="00DF3F22"/>
    <w:rsid w:val="00DF4BAB"/>
    <w:rsid w:val="00DF5D14"/>
    <w:rsid w:val="00DF608E"/>
    <w:rsid w:val="00DF6CC5"/>
    <w:rsid w:val="00DF6FF1"/>
    <w:rsid w:val="00DF7376"/>
    <w:rsid w:val="00DF76E0"/>
    <w:rsid w:val="00E007FD"/>
    <w:rsid w:val="00E015A9"/>
    <w:rsid w:val="00E01B45"/>
    <w:rsid w:val="00E02883"/>
    <w:rsid w:val="00E03C14"/>
    <w:rsid w:val="00E04029"/>
    <w:rsid w:val="00E05FD7"/>
    <w:rsid w:val="00E0744B"/>
    <w:rsid w:val="00E07667"/>
    <w:rsid w:val="00E07D23"/>
    <w:rsid w:val="00E07E8B"/>
    <w:rsid w:val="00E10861"/>
    <w:rsid w:val="00E10DB8"/>
    <w:rsid w:val="00E120BC"/>
    <w:rsid w:val="00E1258C"/>
    <w:rsid w:val="00E12B4E"/>
    <w:rsid w:val="00E1376C"/>
    <w:rsid w:val="00E15635"/>
    <w:rsid w:val="00E16BEE"/>
    <w:rsid w:val="00E2103E"/>
    <w:rsid w:val="00E21B02"/>
    <w:rsid w:val="00E23869"/>
    <w:rsid w:val="00E26156"/>
    <w:rsid w:val="00E266C9"/>
    <w:rsid w:val="00E27323"/>
    <w:rsid w:val="00E27FA3"/>
    <w:rsid w:val="00E302DF"/>
    <w:rsid w:val="00E3099D"/>
    <w:rsid w:val="00E333FB"/>
    <w:rsid w:val="00E3345C"/>
    <w:rsid w:val="00E35515"/>
    <w:rsid w:val="00E36F7B"/>
    <w:rsid w:val="00E37BE6"/>
    <w:rsid w:val="00E37FE7"/>
    <w:rsid w:val="00E40778"/>
    <w:rsid w:val="00E40F77"/>
    <w:rsid w:val="00E41BCE"/>
    <w:rsid w:val="00E41FE9"/>
    <w:rsid w:val="00E4501A"/>
    <w:rsid w:val="00E4586E"/>
    <w:rsid w:val="00E46051"/>
    <w:rsid w:val="00E46187"/>
    <w:rsid w:val="00E46AD3"/>
    <w:rsid w:val="00E46BFA"/>
    <w:rsid w:val="00E477BE"/>
    <w:rsid w:val="00E47B62"/>
    <w:rsid w:val="00E513F5"/>
    <w:rsid w:val="00E51517"/>
    <w:rsid w:val="00E51AFF"/>
    <w:rsid w:val="00E51F74"/>
    <w:rsid w:val="00E52088"/>
    <w:rsid w:val="00E54533"/>
    <w:rsid w:val="00E55868"/>
    <w:rsid w:val="00E55FE6"/>
    <w:rsid w:val="00E60C14"/>
    <w:rsid w:val="00E61815"/>
    <w:rsid w:val="00E620C7"/>
    <w:rsid w:val="00E653B8"/>
    <w:rsid w:val="00E65D86"/>
    <w:rsid w:val="00E66967"/>
    <w:rsid w:val="00E67E1C"/>
    <w:rsid w:val="00E70E2A"/>
    <w:rsid w:val="00E72C1A"/>
    <w:rsid w:val="00E74BBE"/>
    <w:rsid w:val="00E763CD"/>
    <w:rsid w:val="00E76A0F"/>
    <w:rsid w:val="00E7711B"/>
    <w:rsid w:val="00E80DB0"/>
    <w:rsid w:val="00E8114F"/>
    <w:rsid w:val="00E82B64"/>
    <w:rsid w:val="00E83E08"/>
    <w:rsid w:val="00E850A3"/>
    <w:rsid w:val="00E8528B"/>
    <w:rsid w:val="00E86A15"/>
    <w:rsid w:val="00E87034"/>
    <w:rsid w:val="00E904B3"/>
    <w:rsid w:val="00E90733"/>
    <w:rsid w:val="00E90DC2"/>
    <w:rsid w:val="00E90F26"/>
    <w:rsid w:val="00E91D52"/>
    <w:rsid w:val="00E931A2"/>
    <w:rsid w:val="00E93D9A"/>
    <w:rsid w:val="00E95EEF"/>
    <w:rsid w:val="00E96340"/>
    <w:rsid w:val="00E96ECE"/>
    <w:rsid w:val="00EA1038"/>
    <w:rsid w:val="00EA1BF3"/>
    <w:rsid w:val="00EA28C6"/>
    <w:rsid w:val="00EA38D5"/>
    <w:rsid w:val="00EA4363"/>
    <w:rsid w:val="00EA5409"/>
    <w:rsid w:val="00EA5F10"/>
    <w:rsid w:val="00EA5F30"/>
    <w:rsid w:val="00EA6F59"/>
    <w:rsid w:val="00EA789A"/>
    <w:rsid w:val="00EB0F10"/>
    <w:rsid w:val="00EB19DF"/>
    <w:rsid w:val="00EB219C"/>
    <w:rsid w:val="00EB321E"/>
    <w:rsid w:val="00EB6374"/>
    <w:rsid w:val="00EB64FC"/>
    <w:rsid w:val="00EB7B3E"/>
    <w:rsid w:val="00EC0FC7"/>
    <w:rsid w:val="00EC2B16"/>
    <w:rsid w:val="00EC3466"/>
    <w:rsid w:val="00EC37C6"/>
    <w:rsid w:val="00EC3CEA"/>
    <w:rsid w:val="00EC744B"/>
    <w:rsid w:val="00EC778D"/>
    <w:rsid w:val="00EC7B5A"/>
    <w:rsid w:val="00ED1573"/>
    <w:rsid w:val="00ED1966"/>
    <w:rsid w:val="00ED419B"/>
    <w:rsid w:val="00ED4DA5"/>
    <w:rsid w:val="00ED5501"/>
    <w:rsid w:val="00ED5AF3"/>
    <w:rsid w:val="00ED6E55"/>
    <w:rsid w:val="00ED7419"/>
    <w:rsid w:val="00EE050F"/>
    <w:rsid w:val="00EE081A"/>
    <w:rsid w:val="00EE1131"/>
    <w:rsid w:val="00EE1EB5"/>
    <w:rsid w:val="00EE243B"/>
    <w:rsid w:val="00EE3398"/>
    <w:rsid w:val="00EE3F33"/>
    <w:rsid w:val="00EE60DB"/>
    <w:rsid w:val="00EE7E38"/>
    <w:rsid w:val="00EE7EEA"/>
    <w:rsid w:val="00EF0576"/>
    <w:rsid w:val="00EF1D7E"/>
    <w:rsid w:val="00EF39FC"/>
    <w:rsid w:val="00EF4C2D"/>
    <w:rsid w:val="00EF4CEE"/>
    <w:rsid w:val="00EF5638"/>
    <w:rsid w:val="00EF6801"/>
    <w:rsid w:val="00EF7F09"/>
    <w:rsid w:val="00F0006B"/>
    <w:rsid w:val="00F016CA"/>
    <w:rsid w:val="00F01E4F"/>
    <w:rsid w:val="00F04143"/>
    <w:rsid w:val="00F0482C"/>
    <w:rsid w:val="00F0740D"/>
    <w:rsid w:val="00F07750"/>
    <w:rsid w:val="00F07780"/>
    <w:rsid w:val="00F106C0"/>
    <w:rsid w:val="00F10988"/>
    <w:rsid w:val="00F12073"/>
    <w:rsid w:val="00F12149"/>
    <w:rsid w:val="00F1227F"/>
    <w:rsid w:val="00F13587"/>
    <w:rsid w:val="00F13EAC"/>
    <w:rsid w:val="00F16387"/>
    <w:rsid w:val="00F203C7"/>
    <w:rsid w:val="00F20A07"/>
    <w:rsid w:val="00F210E0"/>
    <w:rsid w:val="00F21646"/>
    <w:rsid w:val="00F21917"/>
    <w:rsid w:val="00F27A4B"/>
    <w:rsid w:val="00F27BB1"/>
    <w:rsid w:val="00F32B0E"/>
    <w:rsid w:val="00F33DC4"/>
    <w:rsid w:val="00F356DB"/>
    <w:rsid w:val="00F35946"/>
    <w:rsid w:val="00F359C0"/>
    <w:rsid w:val="00F37DBE"/>
    <w:rsid w:val="00F401F9"/>
    <w:rsid w:val="00F41F6A"/>
    <w:rsid w:val="00F430AC"/>
    <w:rsid w:val="00F438E3"/>
    <w:rsid w:val="00F462D5"/>
    <w:rsid w:val="00F46975"/>
    <w:rsid w:val="00F477B9"/>
    <w:rsid w:val="00F5098F"/>
    <w:rsid w:val="00F53604"/>
    <w:rsid w:val="00F54A39"/>
    <w:rsid w:val="00F54B2D"/>
    <w:rsid w:val="00F55625"/>
    <w:rsid w:val="00F55741"/>
    <w:rsid w:val="00F55FAE"/>
    <w:rsid w:val="00F60171"/>
    <w:rsid w:val="00F6086F"/>
    <w:rsid w:val="00F613FA"/>
    <w:rsid w:val="00F61D14"/>
    <w:rsid w:val="00F64C96"/>
    <w:rsid w:val="00F6631F"/>
    <w:rsid w:val="00F70E60"/>
    <w:rsid w:val="00F72112"/>
    <w:rsid w:val="00F723D6"/>
    <w:rsid w:val="00F724AB"/>
    <w:rsid w:val="00F75E3A"/>
    <w:rsid w:val="00F7612F"/>
    <w:rsid w:val="00F77E87"/>
    <w:rsid w:val="00F806A9"/>
    <w:rsid w:val="00F81620"/>
    <w:rsid w:val="00F81EA3"/>
    <w:rsid w:val="00F8217F"/>
    <w:rsid w:val="00F82DDD"/>
    <w:rsid w:val="00F83113"/>
    <w:rsid w:val="00F83C22"/>
    <w:rsid w:val="00F84521"/>
    <w:rsid w:val="00F8510F"/>
    <w:rsid w:val="00F87451"/>
    <w:rsid w:val="00F906AB"/>
    <w:rsid w:val="00F91766"/>
    <w:rsid w:val="00F91A6E"/>
    <w:rsid w:val="00F91E7B"/>
    <w:rsid w:val="00F91F3D"/>
    <w:rsid w:val="00F94EE2"/>
    <w:rsid w:val="00F9684B"/>
    <w:rsid w:val="00F96B7D"/>
    <w:rsid w:val="00F97412"/>
    <w:rsid w:val="00FA0537"/>
    <w:rsid w:val="00FA1A05"/>
    <w:rsid w:val="00FA25EA"/>
    <w:rsid w:val="00FA2AC8"/>
    <w:rsid w:val="00FA2ECA"/>
    <w:rsid w:val="00FA2FA8"/>
    <w:rsid w:val="00FA4875"/>
    <w:rsid w:val="00FA65E5"/>
    <w:rsid w:val="00FA6A63"/>
    <w:rsid w:val="00FA6D1C"/>
    <w:rsid w:val="00FB1348"/>
    <w:rsid w:val="00FB1EA0"/>
    <w:rsid w:val="00FB2144"/>
    <w:rsid w:val="00FB22F2"/>
    <w:rsid w:val="00FB2DA4"/>
    <w:rsid w:val="00FB31E9"/>
    <w:rsid w:val="00FB45C2"/>
    <w:rsid w:val="00FB6808"/>
    <w:rsid w:val="00FB6B51"/>
    <w:rsid w:val="00FC2786"/>
    <w:rsid w:val="00FC36CB"/>
    <w:rsid w:val="00FC3779"/>
    <w:rsid w:val="00FC400D"/>
    <w:rsid w:val="00FC58AA"/>
    <w:rsid w:val="00FC6BB3"/>
    <w:rsid w:val="00FC77DD"/>
    <w:rsid w:val="00FC7979"/>
    <w:rsid w:val="00FC7CE2"/>
    <w:rsid w:val="00FD1134"/>
    <w:rsid w:val="00FD1489"/>
    <w:rsid w:val="00FD15A5"/>
    <w:rsid w:val="00FD2169"/>
    <w:rsid w:val="00FD24D9"/>
    <w:rsid w:val="00FD2B4A"/>
    <w:rsid w:val="00FD43CA"/>
    <w:rsid w:val="00FD57BD"/>
    <w:rsid w:val="00FD7C6C"/>
    <w:rsid w:val="00FE13C6"/>
    <w:rsid w:val="00FE23C6"/>
    <w:rsid w:val="00FE2E5D"/>
    <w:rsid w:val="00FE54A8"/>
    <w:rsid w:val="00FE6741"/>
    <w:rsid w:val="00FE6B1A"/>
    <w:rsid w:val="00FF06F9"/>
    <w:rsid w:val="00FF0FB4"/>
    <w:rsid w:val="00FF12B9"/>
    <w:rsid w:val="00FF1A88"/>
    <w:rsid w:val="00FF2B2A"/>
    <w:rsid w:val="00FF2B97"/>
    <w:rsid w:val="00FF3080"/>
    <w:rsid w:val="00FF45AE"/>
    <w:rsid w:val="00FF4BB6"/>
    <w:rsid w:val="00FF4EE6"/>
    <w:rsid w:val="00FF4F62"/>
    <w:rsid w:val="00FF529B"/>
    <w:rsid w:val="00FF5907"/>
    <w:rsid w:val="00FF683E"/>
    <w:rsid w:val="01045CFF"/>
    <w:rsid w:val="012F4649"/>
    <w:rsid w:val="0150135E"/>
    <w:rsid w:val="0190526E"/>
    <w:rsid w:val="023A1FF5"/>
    <w:rsid w:val="025E4D25"/>
    <w:rsid w:val="02703976"/>
    <w:rsid w:val="027A73B5"/>
    <w:rsid w:val="0288177F"/>
    <w:rsid w:val="029B17FC"/>
    <w:rsid w:val="02A15D87"/>
    <w:rsid w:val="030D2FAB"/>
    <w:rsid w:val="0334100A"/>
    <w:rsid w:val="035F73AA"/>
    <w:rsid w:val="03731CB9"/>
    <w:rsid w:val="037A3B16"/>
    <w:rsid w:val="03A104E6"/>
    <w:rsid w:val="03B42B71"/>
    <w:rsid w:val="03D00F68"/>
    <w:rsid w:val="03F14378"/>
    <w:rsid w:val="0403683C"/>
    <w:rsid w:val="04411D8D"/>
    <w:rsid w:val="050E44F0"/>
    <w:rsid w:val="0557041D"/>
    <w:rsid w:val="05843056"/>
    <w:rsid w:val="058575CC"/>
    <w:rsid w:val="05C03395"/>
    <w:rsid w:val="0695479F"/>
    <w:rsid w:val="073052D8"/>
    <w:rsid w:val="074C498D"/>
    <w:rsid w:val="076570F1"/>
    <w:rsid w:val="077971D9"/>
    <w:rsid w:val="078238CE"/>
    <w:rsid w:val="07AB29B2"/>
    <w:rsid w:val="07DB627D"/>
    <w:rsid w:val="08933E94"/>
    <w:rsid w:val="09180293"/>
    <w:rsid w:val="09323AEF"/>
    <w:rsid w:val="09AE6DC1"/>
    <w:rsid w:val="09C675B2"/>
    <w:rsid w:val="09FC0971"/>
    <w:rsid w:val="0A297FB1"/>
    <w:rsid w:val="0A7B6F51"/>
    <w:rsid w:val="0A7F32A8"/>
    <w:rsid w:val="0AA85E1C"/>
    <w:rsid w:val="0AB17F0C"/>
    <w:rsid w:val="0ACF291B"/>
    <w:rsid w:val="0ADD6C01"/>
    <w:rsid w:val="0AFF02E7"/>
    <w:rsid w:val="0B8C211C"/>
    <w:rsid w:val="0B904603"/>
    <w:rsid w:val="0BAB0910"/>
    <w:rsid w:val="0BAE1CF4"/>
    <w:rsid w:val="0BD73DCF"/>
    <w:rsid w:val="0CEB2260"/>
    <w:rsid w:val="0CFB5DD9"/>
    <w:rsid w:val="0D1D038B"/>
    <w:rsid w:val="0D3D648A"/>
    <w:rsid w:val="0D542A69"/>
    <w:rsid w:val="0D646A50"/>
    <w:rsid w:val="0D8F4EF8"/>
    <w:rsid w:val="0DE44B6B"/>
    <w:rsid w:val="0E034750"/>
    <w:rsid w:val="0E1D3671"/>
    <w:rsid w:val="0E1F5AA9"/>
    <w:rsid w:val="0E7F48B6"/>
    <w:rsid w:val="0EA15194"/>
    <w:rsid w:val="0EC10758"/>
    <w:rsid w:val="0EDA34AE"/>
    <w:rsid w:val="0EE34411"/>
    <w:rsid w:val="0F1C2685"/>
    <w:rsid w:val="0F224DB7"/>
    <w:rsid w:val="0F7D4810"/>
    <w:rsid w:val="0FC82936"/>
    <w:rsid w:val="10050FDE"/>
    <w:rsid w:val="102E349A"/>
    <w:rsid w:val="104E68CB"/>
    <w:rsid w:val="106A5732"/>
    <w:rsid w:val="1089100A"/>
    <w:rsid w:val="10D46F57"/>
    <w:rsid w:val="10DD3782"/>
    <w:rsid w:val="10E55ACF"/>
    <w:rsid w:val="11832AAA"/>
    <w:rsid w:val="11844FD0"/>
    <w:rsid w:val="11F109C9"/>
    <w:rsid w:val="12390AE1"/>
    <w:rsid w:val="128F183A"/>
    <w:rsid w:val="12CF6217"/>
    <w:rsid w:val="12E01AC3"/>
    <w:rsid w:val="130F7BED"/>
    <w:rsid w:val="131618B8"/>
    <w:rsid w:val="132D0579"/>
    <w:rsid w:val="1332606E"/>
    <w:rsid w:val="13C0621A"/>
    <w:rsid w:val="14797E5E"/>
    <w:rsid w:val="149A6199"/>
    <w:rsid w:val="14B65467"/>
    <w:rsid w:val="157417DC"/>
    <w:rsid w:val="15A4742F"/>
    <w:rsid w:val="15E84376"/>
    <w:rsid w:val="1643712F"/>
    <w:rsid w:val="166217E0"/>
    <w:rsid w:val="166D0E4A"/>
    <w:rsid w:val="16AF2F70"/>
    <w:rsid w:val="16BE319E"/>
    <w:rsid w:val="16E64AC4"/>
    <w:rsid w:val="16FE1795"/>
    <w:rsid w:val="171F0130"/>
    <w:rsid w:val="1727747B"/>
    <w:rsid w:val="173C3CFA"/>
    <w:rsid w:val="175626A7"/>
    <w:rsid w:val="176F6C94"/>
    <w:rsid w:val="178F3D69"/>
    <w:rsid w:val="179E4EFF"/>
    <w:rsid w:val="180D2B3E"/>
    <w:rsid w:val="18207004"/>
    <w:rsid w:val="185C461C"/>
    <w:rsid w:val="18736112"/>
    <w:rsid w:val="188B7DC8"/>
    <w:rsid w:val="188D0B43"/>
    <w:rsid w:val="192C237F"/>
    <w:rsid w:val="19342AED"/>
    <w:rsid w:val="194E6C53"/>
    <w:rsid w:val="19BF34F4"/>
    <w:rsid w:val="1AB8095D"/>
    <w:rsid w:val="1AE71FB3"/>
    <w:rsid w:val="1AFA146B"/>
    <w:rsid w:val="1B7D074D"/>
    <w:rsid w:val="1BA935A6"/>
    <w:rsid w:val="1BB150D8"/>
    <w:rsid w:val="1BD30662"/>
    <w:rsid w:val="1C7146F8"/>
    <w:rsid w:val="1C7255A1"/>
    <w:rsid w:val="1CA0626D"/>
    <w:rsid w:val="1CAD2B3B"/>
    <w:rsid w:val="1D231173"/>
    <w:rsid w:val="1D471C26"/>
    <w:rsid w:val="1D703102"/>
    <w:rsid w:val="1DBD45C6"/>
    <w:rsid w:val="1DBD74CD"/>
    <w:rsid w:val="1E0A52DD"/>
    <w:rsid w:val="1E104F81"/>
    <w:rsid w:val="1E8562BB"/>
    <w:rsid w:val="1E977B78"/>
    <w:rsid w:val="1EA35B1D"/>
    <w:rsid w:val="1EE2790E"/>
    <w:rsid w:val="1EE517F4"/>
    <w:rsid w:val="1F0269D6"/>
    <w:rsid w:val="1F8964DC"/>
    <w:rsid w:val="1FBC1268"/>
    <w:rsid w:val="201D3CC5"/>
    <w:rsid w:val="204E212C"/>
    <w:rsid w:val="2086570F"/>
    <w:rsid w:val="208918FA"/>
    <w:rsid w:val="20F31BD1"/>
    <w:rsid w:val="211009AE"/>
    <w:rsid w:val="211321B5"/>
    <w:rsid w:val="21367DC4"/>
    <w:rsid w:val="21610353"/>
    <w:rsid w:val="21794544"/>
    <w:rsid w:val="21BB14F5"/>
    <w:rsid w:val="21D4115A"/>
    <w:rsid w:val="21DC2DD1"/>
    <w:rsid w:val="21F94CF5"/>
    <w:rsid w:val="21FB6CB4"/>
    <w:rsid w:val="22340085"/>
    <w:rsid w:val="22635888"/>
    <w:rsid w:val="2275647C"/>
    <w:rsid w:val="22931F5B"/>
    <w:rsid w:val="22CC3274"/>
    <w:rsid w:val="22E304A0"/>
    <w:rsid w:val="232A29C7"/>
    <w:rsid w:val="234642D6"/>
    <w:rsid w:val="23A65E60"/>
    <w:rsid w:val="23EC7071"/>
    <w:rsid w:val="24623EC4"/>
    <w:rsid w:val="24696F56"/>
    <w:rsid w:val="2482567C"/>
    <w:rsid w:val="248A64BB"/>
    <w:rsid w:val="24B93906"/>
    <w:rsid w:val="24F91A9C"/>
    <w:rsid w:val="253475BD"/>
    <w:rsid w:val="255326E9"/>
    <w:rsid w:val="255E09B8"/>
    <w:rsid w:val="256258D0"/>
    <w:rsid w:val="257F4569"/>
    <w:rsid w:val="25914B66"/>
    <w:rsid w:val="25A4291B"/>
    <w:rsid w:val="25E13BA3"/>
    <w:rsid w:val="26074C44"/>
    <w:rsid w:val="261774D7"/>
    <w:rsid w:val="26294C66"/>
    <w:rsid w:val="26972B41"/>
    <w:rsid w:val="26A91801"/>
    <w:rsid w:val="26C72E54"/>
    <w:rsid w:val="26DC3176"/>
    <w:rsid w:val="2720246E"/>
    <w:rsid w:val="28016BEB"/>
    <w:rsid w:val="285D453B"/>
    <w:rsid w:val="28707BC8"/>
    <w:rsid w:val="289A6B28"/>
    <w:rsid w:val="28B5686C"/>
    <w:rsid w:val="294560FD"/>
    <w:rsid w:val="29981C34"/>
    <w:rsid w:val="299A6C66"/>
    <w:rsid w:val="29B9561D"/>
    <w:rsid w:val="29C00168"/>
    <w:rsid w:val="2A101AEC"/>
    <w:rsid w:val="2A324F83"/>
    <w:rsid w:val="2A347C23"/>
    <w:rsid w:val="2A672E2B"/>
    <w:rsid w:val="2A810A1D"/>
    <w:rsid w:val="2B420AE0"/>
    <w:rsid w:val="2B474549"/>
    <w:rsid w:val="2B4B5F00"/>
    <w:rsid w:val="2B6E16AA"/>
    <w:rsid w:val="2B7E47EE"/>
    <w:rsid w:val="2BB42703"/>
    <w:rsid w:val="2BC309FD"/>
    <w:rsid w:val="2BCD4D41"/>
    <w:rsid w:val="2BCF7E8E"/>
    <w:rsid w:val="2C5C2366"/>
    <w:rsid w:val="2C6B77D5"/>
    <w:rsid w:val="2C705850"/>
    <w:rsid w:val="2C9217EA"/>
    <w:rsid w:val="2CA46CB3"/>
    <w:rsid w:val="2D431CE5"/>
    <w:rsid w:val="2D4E3333"/>
    <w:rsid w:val="2DC61349"/>
    <w:rsid w:val="2E58408A"/>
    <w:rsid w:val="2E7606D7"/>
    <w:rsid w:val="2E896959"/>
    <w:rsid w:val="2EA776F9"/>
    <w:rsid w:val="2EB32938"/>
    <w:rsid w:val="2EBD43D9"/>
    <w:rsid w:val="2F6F5520"/>
    <w:rsid w:val="2F80338E"/>
    <w:rsid w:val="2F9A56D9"/>
    <w:rsid w:val="2FDC55D2"/>
    <w:rsid w:val="2FF835B7"/>
    <w:rsid w:val="302F1551"/>
    <w:rsid w:val="3085230A"/>
    <w:rsid w:val="308B3D3B"/>
    <w:rsid w:val="30A51BBE"/>
    <w:rsid w:val="30DB3EB5"/>
    <w:rsid w:val="31353AB5"/>
    <w:rsid w:val="31CF118C"/>
    <w:rsid w:val="31D2428C"/>
    <w:rsid w:val="32135324"/>
    <w:rsid w:val="32225ABD"/>
    <w:rsid w:val="32245E1C"/>
    <w:rsid w:val="32317E74"/>
    <w:rsid w:val="32547485"/>
    <w:rsid w:val="329307BB"/>
    <w:rsid w:val="32F17928"/>
    <w:rsid w:val="32F60489"/>
    <w:rsid w:val="33146E3C"/>
    <w:rsid w:val="33524A5D"/>
    <w:rsid w:val="338B7C1B"/>
    <w:rsid w:val="339E29AB"/>
    <w:rsid w:val="33C46AF7"/>
    <w:rsid w:val="33D95CC8"/>
    <w:rsid w:val="341E0AFC"/>
    <w:rsid w:val="34591CB0"/>
    <w:rsid w:val="346202B8"/>
    <w:rsid w:val="347D1E21"/>
    <w:rsid w:val="34927F86"/>
    <w:rsid w:val="34E45E46"/>
    <w:rsid w:val="35093E85"/>
    <w:rsid w:val="350B311F"/>
    <w:rsid w:val="35492D73"/>
    <w:rsid w:val="357044DD"/>
    <w:rsid w:val="35CF1316"/>
    <w:rsid w:val="35D51731"/>
    <w:rsid w:val="35E0399A"/>
    <w:rsid w:val="363020AB"/>
    <w:rsid w:val="36804EBA"/>
    <w:rsid w:val="36903F1E"/>
    <w:rsid w:val="36A0501A"/>
    <w:rsid w:val="36B31C26"/>
    <w:rsid w:val="3701151C"/>
    <w:rsid w:val="370137E2"/>
    <w:rsid w:val="3708207D"/>
    <w:rsid w:val="373D1AB6"/>
    <w:rsid w:val="375463DE"/>
    <w:rsid w:val="376D122B"/>
    <w:rsid w:val="37D144CC"/>
    <w:rsid w:val="37ED38EE"/>
    <w:rsid w:val="380C2C06"/>
    <w:rsid w:val="38127AFD"/>
    <w:rsid w:val="381C01BF"/>
    <w:rsid w:val="387A6293"/>
    <w:rsid w:val="38B118AF"/>
    <w:rsid w:val="38B703C8"/>
    <w:rsid w:val="38C318E0"/>
    <w:rsid w:val="38E46EB4"/>
    <w:rsid w:val="38F808B4"/>
    <w:rsid w:val="391A523B"/>
    <w:rsid w:val="398B135E"/>
    <w:rsid w:val="399341E2"/>
    <w:rsid w:val="3A3D42B9"/>
    <w:rsid w:val="3A6735F6"/>
    <w:rsid w:val="3AF4265E"/>
    <w:rsid w:val="3B0102A6"/>
    <w:rsid w:val="3B180C89"/>
    <w:rsid w:val="3B2D6784"/>
    <w:rsid w:val="3B64373D"/>
    <w:rsid w:val="3B8D3770"/>
    <w:rsid w:val="3C0071F6"/>
    <w:rsid w:val="3C096F24"/>
    <w:rsid w:val="3C365873"/>
    <w:rsid w:val="3C4C5FFB"/>
    <w:rsid w:val="3CA82A96"/>
    <w:rsid w:val="3CE1668C"/>
    <w:rsid w:val="3D056E7A"/>
    <w:rsid w:val="3D1E515B"/>
    <w:rsid w:val="3D3306DF"/>
    <w:rsid w:val="3D5E5050"/>
    <w:rsid w:val="3D677137"/>
    <w:rsid w:val="3E1832AD"/>
    <w:rsid w:val="3E531AF3"/>
    <w:rsid w:val="3EE52A3B"/>
    <w:rsid w:val="3FBA6EFC"/>
    <w:rsid w:val="40AD1EC0"/>
    <w:rsid w:val="40B45581"/>
    <w:rsid w:val="41487234"/>
    <w:rsid w:val="416E7C7F"/>
    <w:rsid w:val="417A7589"/>
    <w:rsid w:val="41B20847"/>
    <w:rsid w:val="41BC2488"/>
    <w:rsid w:val="42542D70"/>
    <w:rsid w:val="42594009"/>
    <w:rsid w:val="4260438F"/>
    <w:rsid w:val="428772D4"/>
    <w:rsid w:val="42911F1C"/>
    <w:rsid w:val="42F35C05"/>
    <w:rsid w:val="42FF2051"/>
    <w:rsid w:val="43194D52"/>
    <w:rsid w:val="432321D8"/>
    <w:rsid w:val="437003E8"/>
    <w:rsid w:val="43A63361"/>
    <w:rsid w:val="43E40DD9"/>
    <w:rsid w:val="442E09DE"/>
    <w:rsid w:val="444907E8"/>
    <w:rsid w:val="44621D69"/>
    <w:rsid w:val="447022A8"/>
    <w:rsid w:val="44DF4418"/>
    <w:rsid w:val="44EA5B5B"/>
    <w:rsid w:val="45236C17"/>
    <w:rsid w:val="45B87ADC"/>
    <w:rsid w:val="45BD2B2A"/>
    <w:rsid w:val="45BE7CCB"/>
    <w:rsid w:val="45CE34DE"/>
    <w:rsid w:val="46064560"/>
    <w:rsid w:val="461B6BD9"/>
    <w:rsid w:val="46376CEA"/>
    <w:rsid w:val="465C2546"/>
    <w:rsid w:val="466F30A4"/>
    <w:rsid w:val="4675469F"/>
    <w:rsid w:val="46852B44"/>
    <w:rsid w:val="46CC5D2F"/>
    <w:rsid w:val="46EE6590"/>
    <w:rsid w:val="470431A3"/>
    <w:rsid w:val="47A14E5D"/>
    <w:rsid w:val="47AC2D0C"/>
    <w:rsid w:val="47B500BE"/>
    <w:rsid w:val="47F416C5"/>
    <w:rsid w:val="482E40F6"/>
    <w:rsid w:val="486023E9"/>
    <w:rsid w:val="491F2D2B"/>
    <w:rsid w:val="495F3ECF"/>
    <w:rsid w:val="49B73EEF"/>
    <w:rsid w:val="49C75755"/>
    <w:rsid w:val="49C77C2F"/>
    <w:rsid w:val="49ED1F45"/>
    <w:rsid w:val="4A0D7831"/>
    <w:rsid w:val="4A163D44"/>
    <w:rsid w:val="4A3434EB"/>
    <w:rsid w:val="4B1B6029"/>
    <w:rsid w:val="4BD5305C"/>
    <w:rsid w:val="4C516B5E"/>
    <w:rsid w:val="4C7D6870"/>
    <w:rsid w:val="4C83410A"/>
    <w:rsid w:val="4D5F0E16"/>
    <w:rsid w:val="4E570767"/>
    <w:rsid w:val="4E780FC9"/>
    <w:rsid w:val="4ECC299F"/>
    <w:rsid w:val="4EDD57A6"/>
    <w:rsid w:val="4F237C7C"/>
    <w:rsid w:val="4F8E450F"/>
    <w:rsid w:val="4F8F5D30"/>
    <w:rsid w:val="4FAC6872"/>
    <w:rsid w:val="4FFE0471"/>
    <w:rsid w:val="50377CF4"/>
    <w:rsid w:val="507D1317"/>
    <w:rsid w:val="50E978D7"/>
    <w:rsid w:val="515B577D"/>
    <w:rsid w:val="51745185"/>
    <w:rsid w:val="51F12C7B"/>
    <w:rsid w:val="52653955"/>
    <w:rsid w:val="5269544E"/>
    <w:rsid w:val="52833010"/>
    <w:rsid w:val="52936E2E"/>
    <w:rsid w:val="52AB695E"/>
    <w:rsid w:val="52BC6F8F"/>
    <w:rsid w:val="52DE30E0"/>
    <w:rsid w:val="52F949EE"/>
    <w:rsid w:val="53230162"/>
    <w:rsid w:val="5365038B"/>
    <w:rsid w:val="536E65AA"/>
    <w:rsid w:val="5387518E"/>
    <w:rsid w:val="53C90EED"/>
    <w:rsid w:val="53CC3562"/>
    <w:rsid w:val="53E83831"/>
    <w:rsid w:val="5460222C"/>
    <w:rsid w:val="548A0D12"/>
    <w:rsid w:val="54921362"/>
    <w:rsid w:val="54993572"/>
    <w:rsid w:val="54A1016E"/>
    <w:rsid w:val="54B25DD5"/>
    <w:rsid w:val="54E02408"/>
    <w:rsid w:val="5529471C"/>
    <w:rsid w:val="558C5FF8"/>
    <w:rsid w:val="55B82197"/>
    <w:rsid w:val="55BA0B8B"/>
    <w:rsid w:val="55BF531D"/>
    <w:rsid w:val="55F36D31"/>
    <w:rsid w:val="564F5983"/>
    <w:rsid w:val="56C74721"/>
    <w:rsid w:val="5705408E"/>
    <w:rsid w:val="578748E8"/>
    <w:rsid w:val="58DC5DCF"/>
    <w:rsid w:val="58FB0973"/>
    <w:rsid w:val="594270C5"/>
    <w:rsid w:val="59564200"/>
    <w:rsid w:val="59633966"/>
    <w:rsid w:val="59734062"/>
    <w:rsid w:val="598440EB"/>
    <w:rsid w:val="59894A08"/>
    <w:rsid w:val="598B5952"/>
    <w:rsid w:val="5A350411"/>
    <w:rsid w:val="5A3A5FB1"/>
    <w:rsid w:val="5A494FD0"/>
    <w:rsid w:val="5AB86FE7"/>
    <w:rsid w:val="5ACC69B8"/>
    <w:rsid w:val="5AD1468A"/>
    <w:rsid w:val="5AEA330A"/>
    <w:rsid w:val="5B627028"/>
    <w:rsid w:val="5B950FBB"/>
    <w:rsid w:val="5BA724E2"/>
    <w:rsid w:val="5BA7360C"/>
    <w:rsid w:val="5BBF065A"/>
    <w:rsid w:val="5BEC1A5C"/>
    <w:rsid w:val="5C223694"/>
    <w:rsid w:val="5C7C353D"/>
    <w:rsid w:val="5C7E1674"/>
    <w:rsid w:val="5CEC5C32"/>
    <w:rsid w:val="5D630829"/>
    <w:rsid w:val="5D6E3891"/>
    <w:rsid w:val="5DAA7255"/>
    <w:rsid w:val="5DB3060C"/>
    <w:rsid w:val="5DC16C24"/>
    <w:rsid w:val="5E0C381D"/>
    <w:rsid w:val="5ECD4ECE"/>
    <w:rsid w:val="5EE37E7A"/>
    <w:rsid w:val="5EEF56F8"/>
    <w:rsid w:val="5FAE7F8D"/>
    <w:rsid w:val="601B4748"/>
    <w:rsid w:val="603E01EE"/>
    <w:rsid w:val="60456CEC"/>
    <w:rsid w:val="606D1653"/>
    <w:rsid w:val="60733F65"/>
    <w:rsid w:val="610558DA"/>
    <w:rsid w:val="610E3D64"/>
    <w:rsid w:val="612F1CBC"/>
    <w:rsid w:val="61A5233B"/>
    <w:rsid w:val="61B24339"/>
    <w:rsid w:val="621E6DFD"/>
    <w:rsid w:val="62430667"/>
    <w:rsid w:val="62627390"/>
    <w:rsid w:val="62BA16C4"/>
    <w:rsid w:val="62BE7882"/>
    <w:rsid w:val="62BF7C03"/>
    <w:rsid w:val="62DC5FD0"/>
    <w:rsid w:val="63065738"/>
    <w:rsid w:val="6395781D"/>
    <w:rsid w:val="63DB34FD"/>
    <w:rsid w:val="63E80812"/>
    <w:rsid w:val="641B042E"/>
    <w:rsid w:val="64CB22C6"/>
    <w:rsid w:val="657329F9"/>
    <w:rsid w:val="657B74D8"/>
    <w:rsid w:val="65834E5D"/>
    <w:rsid w:val="65C518D9"/>
    <w:rsid w:val="65C73DBA"/>
    <w:rsid w:val="661E7C9C"/>
    <w:rsid w:val="66463F12"/>
    <w:rsid w:val="667142AB"/>
    <w:rsid w:val="667740C5"/>
    <w:rsid w:val="66F21A4E"/>
    <w:rsid w:val="674B6187"/>
    <w:rsid w:val="67603481"/>
    <w:rsid w:val="67704C26"/>
    <w:rsid w:val="67793ABE"/>
    <w:rsid w:val="67B41865"/>
    <w:rsid w:val="68035206"/>
    <w:rsid w:val="682A39D2"/>
    <w:rsid w:val="683B1D37"/>
    <w:rsid w:val="696D52F3"/>
    <w:rsid w:val="69944A6C"/>
    <w:rsid w:val="69997FE5"/>
    <w:rsid w:val="69A30644"/>
    <w:rsid w:val="69E46626"/>
    <w:rsid w:val="6A332DE3"/>
    <w:rsid w:val="6A6469C9"/>
    <w:rsid w:val="6AAB6963"/>
    <w:rsid w:val="6ABF043E"/>
    <w:rsid w:val="6AD403BB"/>
    <w:rsid w:val="6AD72A47"/>
    <w:rsid w:val="6B841D22"/>
    <w:rsid w:val="6B921723"/>
    <w:rsid w:val="6BDB4A30"/>
    <w:rsid w:val="6C0242B6"/>
    <w:rsid w:val="6C2F0285"/>
    <w:rsid w:val="6C4A2DB9"/>
    <w:rsid w:val="6C512942"/>
    <w:rsid w:val="6C851C68"/>
    <w:rsid w:val="6CAC2B14"/>
    <w:rsid w:val="6CC23729"/>
    <w:rsid w:val="6CC653FC"/>
    <w:rsid w:val="6CE3136F"/>
    <w:rsid w:val="6CF633F6"/>
    <w:rsid w:val="6D067790"/>
    <w:rsid w:val="6D212910"/>
    <w:rsid w:val="6D535D69"/>
    <w:rsid w:val="6D6A05AB"/>
    <w:rsid w:val="6DA66CE9"/>
    <w:rsid w:val="6DC6197B"/>
    <w:rsid w:val="6DDA6A2B"/>
    <w:rsid w:val="6DEE4D41"/>
    <w:rsid w:val="6E216934"/>
    <w:rsid w:val="6E3736E3"/>
    <w:rsid w:val="6E6459E9"/>
    <w:rsid w:val="6EB11A63"/>
    <w:rsid w:val="6ED0411A"/>
    <w:rsid w:val="6EDC1243"/>
    <w:rsid w:val="6EE65392"/>
    <w:rsid w:val="6F0E6D88"/>
    <w:rsid w:val="6F903D1D"/>
    <w:rsid w:val="70055AAE"/>
    <w:rsid w:val="70227F9C"/>
    <w:rsid w:val="705F3B5B"/>
    <w:rsid w:val="70ED3A1C"/>
    <w:rsid w:val="70FE0F11"/>
    <w:rsid w:val="713D353C"/>
    <w:rsid w:val="715D0235"/>
    <w:rsid w:val="71697A56"/>
    <w:rsid w:val="717C6DBA"/>
    <w:rsid w:val="717C7E35"/>
    <w:rsid w:val="71BA2ED6"/>
    <w:rsid w:val="721C4268"/>
    <w:rsid w:val="72524FB4"/>
    <w:rsid w:val="72976425"/>
    <w:rsid w:val="72D214F9"/>
    <w:rsid w:val="730F1FF6"/>
    <w:rsid w:val="735B29C6"/>
    <w:rsid w:val="737F1C35"/>
    <w:rsid w:val="738A2474"/>
    <w:rsid w:val="738E58BC"/>
    <w:rsid w:val="739608B7"/>
    <w:rsid w:val="73A90ADD"/>
    <w:rsid w:val="73AC5E66"/>
    <w:rsid w:val="73D34415"/>
    <w:rsid w:val="73FB1F4A"/>
    <w:rsid w:val="74136125"/>
    <w:rsid w:val="742B5A2D"/>
    <w:rsid w:val="742B623D"/>
    <w:rsid w:val="74395AC6"/>
    <w:rsid w:val="743E74AE"/>
    <w:rsid w:val="744141F5"/>
    <w:rsid w:val="754D2952"/>
    <w:rsid w:val="756C37BD"/>
    <w:rsid w:val="75927D06"/>
    <w:rsid w:val="75D8124A"/>
    <w:rsid w:val="76152171"/>
    <w:rsid w:val="762D3D4B"/>
    <w:rsid w:val="76664A1E"/>
    <w:rsid w:val="77067FEF"/>
    <w:rsid w:val="77857D3A"/>
    <w:rsid w:val="77AF27DB"/>
    <w:rsid w:val="77D72BA1"/>
    <w:rsid w:val="77DB0520"/>
    <w:rsid w:val="78285C13"/>
    <w:rsid w:val="782C3C84"/>
    <w:rsid w:val="7854324C"/>
    <w:rsid w:val="78E765DB"/>
    <w:rsid w:val="78FD19D3"/>
    <w:rsid w:val="79B74976"/>
    <w:rsid w:val="7A112426"/>
    <w:rsid w:val="7A5366B7"/>
    <w:rsid w:val="7A68549F"/>
    <w:rsid w:val="7A8D3DF2"/>
    <w:rsid w:val="7AE30F42"/>
    <w:rsid w:val="7AE90FC7"/>
    <w:rsid w:val="7B004646"/>
    <w:rsid w:val="7B835A88"/>
    <w:rsid w:val="7B870A41"/>
    <w:rsid w:val="7BD62E54"/>
    <w:rsid w:val="7C1D0761"/>
    <w:rsid w:val="7C4A4CA7"/>
    <w:rsid w:val="7C5A789A"/>
    <w:rsid w:val="7C933E5B"/>
    <w:rsid w:val="7CB54907"/>
    <w:rsid w:val="7CDB3DCC"/>
    <w:rsid w:val="7D8B50AC"/>
    <w:rsid w:val="7DF32D3C"/>
    <w:rsid w:val="7E007F0C"/>
    <w:rsid w:val="7E3B0F17"/>
    <w:rsid w:val="7E490487"/>
    <w:rsid w:val="7E815B40"/>
    <w:rsid w:val="7E8A4A5D"/>
    <w:rsid w:val="7EA9587E"/>
    <w:rsid w:val="7EBC360D"/>
    <w:rsid w:val="7F1A2DB5"/>
    <w:rsid w:val="7F261C27"/>
    <w:rsid w:val="7F2E7B81"/>
    <w:rsid w:val="7F4113A6"/>
    <w:rsid w:val="7FFC5A7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72"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21"/>
    <w:qFormat/>
    <w:uiPriority w:val="1"/>
    <w:pPr>
      <w:autoSpaceDE w:val="0"/>
      <w:autoSpaceDN w:val="0"/>
      <w:adjustRightInd w:val="0"/>
      <w:spacing w:before="17"/>
      <w:ind w:left="1144"/>
      <w:jc w:val="left"/>
      <w:outlineLvl w:val="0"/>
    </w:pPr>
    <w:rPr>
      <w:rFonts w:ascii="黑体" w:hAnsi="Times New Roman" w:eastAsia="黑体"/>
      <w:b/>
      <w:bCs/>
      <w:kern w:val="0"/>
      <w:sz w:val="36"/>
      <w:szCs w:val="36"/>
    </w:rPr>
  </w:style>
  <w:style w:type="paragraph" w:styleId="3">
    <w:name w:val="heading 2"/>
    <w:basedOn w:val="1"/>
    <w:next w:val="1"/>
    <w:link w:val="22"/>
    <w:qFormat/>
    <w:uiPriority w:val="9"/>
    <w:pPr>
      <w:keepNext/>
      <w:keepLines/>
      <w:spacing w:before="260" w:after="260" w:line="416" w:lineRule="auto"/>
      <w:outlineLvl w:val="1"/>
    </w:pPr>
    <w:rPr>
      <w:rFonts w:ascii="Cambria" w:hAnsi="Cambria"/>
      <w:b/>
      <w:bCs/>
      <w:kern w:val="0"/>
      <w:sz w:val="32"/>
      <w:szCs w:val="32"/>
    </w:rPr>
  </w:style>
  <w:style w:type="paragraph" w:styleId="4">
    <w:name w:val="heading 3"/>
    <w:basedOn w:val="1"/>
    <w:next w:val="1"/>
    <w:link w:val="23"/>
    <w:qFormat/>
    <w:uiPriority w:val="1"/>
    <w:pPr>
      <w:autoSpaceDE w:val="0"/>
      <w:autoSpaceDN w:val="0"/>
      <w:adjustRightInd w:val="0"/>
      <w:spacing w:before="34"/>
      <w:ind w:left="120"/>
      <w:jc w:val="left"/>
      <w:outlineLvl w:val="2"/>
    </w:pPr>
    <w:rPr>
      <w:rFonts w:ascii="宋体" w:hAnsi="Times New Roman"/>
      <w:b/>
      <w:bCs/>
      <w:kern w:val="0"/>
      <w:sz w:val="20"/>
      <w:szCs w:val="21"/>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5">
    <w:name w:val="annotation text"/>
    <w:basedOn w:val="1"/>
    <w:link w:val="24"/>
    <w:unhideWhenUsed/>
    <w:qFormat/>
    <w:uiPriority w:val="99"/>
    <w:pPr>
      <w:jc w:val="left"/>
    </w:pPr>
  </w:style>
  <w:style w:type="paragraph" w:styleId="6">
    <w:name w:val="Body Text"/>
    <w:basedOn w:val="1"/>
    <w:link w:val="25"/>
    <w:qFormat/>
    <w:uiPriority w:val="1"/>
    <w:pPr>
      <w:autoSpaceDE w:val="0"/>
      <w:autoSpaceDN w:val="0"/>
      <w:adjustRightInd w:val="0"/>
      <w:spacing w:before="162"/>
      <w:ind w:left="120"/>
      <w:jc w:val="left"/>
    </w:pPr>
    <w:rPr>
      <w:rFonts w:ascii="宋体" w:hAnsi="Times New Roman"/>
      <w:kern w:val="0"/>
      <w:sz w:val="20"/>
      <w:szCs w:val="21"/>
    </w:rPr>
  </w:style>
  <w:style w:type="paragraph" w:styleId="7">
    <w:name w:val="Date"/>
    <w:basedOn w:val="1"/>
    <w:next w:val="1"/>
    <w:link w:val="26"/>
    <w:unhideWhenUsed/>
    <w:qFormat/>
    <w:uiPriority w:val="99"/>
    <w:pPr>
      <w:ind w:left="100" w:leftChars="2500"/>
    </w:pPr>
  </w:style>
  <w:style w:type="paragraph" w:styleId="8">
    <w:name w:val="Balloon Text"/>
    <w:basedOn w:val="1"/>
    <w:link w:val="27"/>
    <w:unhideWhenUsed/>
    <w:qFormat/>
    <w:uiPriority w:val="99"/>
    <w:rPr>
      <w:kern w:val="0"/>
      <w:sz w:val="18"/>
      <w:szCs w:val="18"/>
    </w:rPr>
  </w:style>
  <w:style w:type="paragraph" w:styleId="9">
    <w:name w:val="footer"/>
    <w:basedOn w:val="1"/>
    <w:link w:val="28"/>
    <w:unhideWhenUsed/>
    <w:qFormat/>
    <w:uiPriority w:val="99"/>
    <w:pPr>
      <w:tabs>
        <w:tab w:val="center" w:pos="4153"/>
        <w:tab w:val="right" w:pos="8306"/>
      </w:tabs>
      <w:snapToGrid w:val="0"/>
      <w:jc w:val="left"/>
    </w:pPr>
    <w:rPr>
      <w:kern w:val="0"/>
      <w:sz w:val="18"/>
      <w:szCs w:val="18"/>
    </w:rPr>
  </w:style>
  <w:style w:type="paragraph" w:styleId="10">
    <w:name w:val="header"/>
    <w:basedOn w:val="1"/>
    <w:link w:val="29"/>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footnote text"/>
    <w:basedOn w:val="1"/>
    <w:link w:val="30"/>
    <w:unhideWhenUsed/>
    <w:qFormat/>
    <w:uiPriority w:val="99"/>
    <w:pPr>
      <w:snapToGrid w:val="0"/>
      <w:jc w:val="left"/>
    </w:pPr>
    <w:rPr>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annotation subject"/>
    <w:basedOn w:val="5"/>
    <w:next w:val="5"/>
    <w:link w:val="31"/>
    <w:unhideWhenUsed/>
    <w:qFormat/>
    <w:uiPriority w:val="99"/>
    <w:rPr>
      <w:b/>
      <w:bCs/>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unhideWhenUsed/>
    <w:qFormat/>
    <w:uiPriority w:val="99"/>
    <w:rPr>
      <w:color w:val="0000FF"/>
      <w:u w:val="single"/>
    </w:rPr>
  </w:style>
  <w:style w:type="character" w:styleId="19">
    <w:name w:val="annotation reference"/>
    <w:unhideWhenUsed/>
    <w:qFormat/>
    <w:uiPriority w:val="99"/>
    <w:rPr>
      <w:sz w:val="21"/>
      <w:szCs w:val="21"/>
    </w:rPr>
  </w:style>
  <w:style w:type="character" w:styleId="20">
    <w:name w:val="footnote reference"/>
    <w:unhideWhenUsed/>
    <w:qFormat/>
    <w:uiPriority w:val="99"/>
    <w:rPr>
      <w:vertAlign w:val="superscript"/>
    </w:rPr>
  </w:style>
  <w:style w:type="character" w:customStyle="1" w:styleId="21">
    <w:name w:val="标题 1 Char"/>
    <w:link w:val="2"/>
    <w:qFormat/>
    <w:uiPriority w:val="1"/>
    <w:rPr>
      <w:rFonts w:ascii="黑体" w:hAnsi="Times New Roman" w:eastAsia="黑体" w:cs="黑体"/>
      <w:b/>
      <w:bCs/>
      <w:kern w:val="0"/>
      <w:sz w:val="36"/>
      <w:szCs w:val="36"/>
    </w:rPr>
  </w:style>
  <w:style w:type="character" w:customStyle="1" w:styleId="22">
    <w:name w:val="标题 2 Char"/>
    <w:link w:val="3"/>
    <w:qFormat/>
    <w:uiPriority w:val="9"/>
    <w:rPr>
      <w:rFonts w:ascii="Cambria" w:hAnsi="Cambria" w:eastAsia="宋体" w:cs="Times New Roman"/>
      <w:b/>
      <w:bCs/>
      <w:sz w:val="32"/>
      <w:szCs w:val="32"/>
    </w:rPr>
  </w:style>
  <w:style w:type="character" w:customStyle="1" w:styleId="23">
    <w:name w:val="标题 3 Char"/>
    <w:link w:val="4"/>
    <w:qFormat/>
    <w:uiPriority w:val="1"/>
    <w:rPr>
      <w:rFonts w:ascii="宋体" w:hAnsi="Times New Roman" w:eastAsia="宋体" w:cs="宋体"/>
      <w:b/>
      <w:bCs/>
      <w:kern w:val="0"/>
      <w:szCs w:val="21"/>
    </w:rPr>
  </w:style>
  <w:style w:type="character" w:customStyle="1" w:styleId="24">
    <w:name w:val="批注文字 Char"/>
    <w:link w:val="5"/>
    <w:qFormat/>
    <w:uiPriority w:val="99"/>
    <w:rPr>
      <w:kern w:val="2"/>
      <w:sz w:val="21"/>
      <w:szCs w:val="22"/>
    </w:rPr>
  </w:style>
  <w:style w:type="character" w:customStyle="1" w:styleId="25">
    <w:name w:val="正文文本 Char"/>
    <w:link w:val="6"/>
    <w:qFormat/>
    <w:uiPriority w:val="1"/>
    <w:rPr>
      <w:rFonts w:ascii="宋体" w:hAnsi="Times New Roman" w:eastAsia="宋体" w:cs="宋体"/>
      <w:kern w:val="0"/>
      <w:szCs w:val="21"/>
    </w:rPr>
  </w:style>
  <w:style w:type="character" w:customStyle="1" w:styleId="26">
    <w:name w:val="日期 Char"/>
    <w:link w:val="7"/>
    <w:semiHidden/>
    <w:qFormat/>
    <w:uiPriority w:val="99"/>
  </w:style>
  <w:style w:type="character" w:customStyle="1" w:styleId="27">
    <w:name w:val="批注框文本 Char"/>
    <w:link w:val="8"/>
    <w:semiHidden/>
    <w:qFormat/>
    <w:uiPriority w:val="99"/>
    <w:rPr>
      <w:sz w:val="18"/>
      <w:szCs w:val="18"/>
    </w:rPr>
  </w:style>
  <w:style w:type="character" w:customStyle="1" w:styleId="28">
    <w:name w:val="页脚 Char"/>
    <w:link w:val="9"/>
    <w:qFormat/>
    <w:uiPriority w:val="99"/>
    <w:rPr>
      <w:sz w:val="18"/>
      <w:szCs w:val="18"/>
    </w:rPr>
  </w:style>
  <w:style w:type="character" w:customStyle="1" w:styleId="29">
    <w:name w:val="页眉 Char"/>
    <w:link w:val="10"/>
    <w:qFormat/>
    <w:uiPriority w:val="99"/>
    <w:rPr>
      <w:sz w:val="18"/>
      <w:szCs w:val="18"/>
    </w:rPr>
  </w:style>
  <w:style w:type="character" w:customStyle="1" w:styleId="30">
    <w:name w:val="脚注文本 Char1"/>
    <w:link w:val="11"/>
    <w:semiHidden/>
    <w:qFormat/>
    <w:uiPriority w:val="99"/>
    <w:rPr>
      <w:kern w:val="2"/>
      <w:sz w:val="18"/>
      <w:szCs w:val="18"/>
    </w:rPr>
  </w:style>
  <w:style w:type="character" w:customStyle="1" w:styleId="31">
    <w:name w:val="批注主题 Char"/>
    <w:link w:val="13"/>
    <w:semiHidden/>
    <w:qFormat/>
    <w:uiPriority w:val="99"/>
    <w:rPr>
      <w:b/>
      <w:bCs/>
      <w:kern w:val="2"/>
      <w:sz w:val="21"/>
      <w:szCs w:val="22"/>
    </w:rPr>
  </w:style>
  <w:style w:type="paragraph" w:styleId="32">
    <w:name w:val="List Paragraph"/>
    <w:basedOn w:val="1"/>
    <w:qFormat/>
    <w:uiPriority w:val="72"/>
    <w:pPr>
      <w:ind w:firstLine="420" w:firstLineChars="200"/>
    </w:pPr>
  </w:style>
  <w:style w:type="paragraph" w:customStyle="1" w:styleId="33">
    <w:name w:val="Table Paragraph"/>
    <w:basedOn w:val="1"/>
    <w:qFormat/>
    <w:uiPriority w:val="1"/>
    <w:pPr>
      <w:autoSpaceDE w:val="0"/>
      <w:autoSpaceDN w:val="0"/>
      <w:adjustRightInd w:val="0"/>
      <w:jc w:val="left"/>
    </w:pPr>
    <w:rPr>
      <w:rFonts w:ascii="Times New Roman" w:hAnsi="Times New Roman" w:cs="Times New Roman"/>
      <w:kern w:val="0"/>
      <w:sz w:val="24"/>
      <w:szCs w:val="24"/>
    </w:rPr>
  </w:style>
  <w:style w:type="paragraph" w:customStyle="1" w:styleId="34">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35">
    <w:name w:val="_Style 34"/>
    <w:semiHidden/>
    <w:qFormat/>
    <w:uiPriority w:val="99"/>
    <w:rPr>
      <w:rFonts w:ascii="Times New Roman" w:hAnsi="Times New Roman" w:eastAsia="宋体" w:cs="Times New Roman"/>
      <w:kern w:val="2"/>
      <w:sz w:val="21"/>
      <w:szCs w:val="22"/>
      <w:lang w:val="en-US" w:eastAsia="zh-CN" w:bidi="ar-SA"/>
    </w:rPr>
  </w:style>
  <w:style w:type="character" w:customStyle="1" w:styleId="36">
    <w:name w:val="脚注文本 Char"/>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5655</Words>
  <Characters>32236</Characters>
  <Lines>268</Lines>
  <Paragraphs>75</Paragraphs>
  <TotalTime>0</TotalTime>
  <ScaleCrop>false</ScaleCrop>
  <LinksUpToDate>false</LinksUpToDate>
  <CharactersWithSpaces>37816</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2022-08-03T02:08:00Z</dcterms:created>
  <dc:creator>JSYH</dc:creator>
  <cp:lastModifiedBy>lhy</cp:lastModifiedBy>
  <cp:lastPrinted>2022-09-01T07:58:00Z</cp:lastPrinted>
  <dcterms:modified xsi:type="dcterms:W3CDTF">2025-10-09T07:38:28Z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64C36E7FFB3148D485354064BA480AF6</vt:lpwstr>
  </property>
</Properties>
</file>