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993"/>
        </w:tabs>
        <w:wordWrap/>
        <w:topLinePunct w:val="0"/>
        <w:autoSpaceDE/>
        <w:autoSpaceDN/>
        <w:bidi w:val="0"/>
        <w:jc w:val="center"/>
        <w:textAlignment w:val="auto"/>
        <w:rPr>
          <w:rFonts w:hint="eastAsia" w:ascii="楷体" w:hAnsi="楷体" w:eastAsia="楷体" w:cs="宋体"/>
          <w:b/>
          <w:kern w:val="0"/>
          <w:sz w:val="28"/>
          <w:szCs w:val="28"/>
        </w:rPr>
      </w:pPr>
      <w:r>
        <w:rPr>
          <w:rFonts w:hint="eastAsia" w:ascii="楷体" w:hAnsi="楷体" w:eastAsia="楷体" w:cs="宋体"/>
          <w:b/>
          <w:kern w:val="0"/>
          <w:sz w:val="28"/>
          <w:szCs w:val="28"/>
        </w:rPr>
        <w:t>“苏银理财</w:t>
      </w:r>
      <w:r>
        <w:rPr>
          <w:rFonts w:hint="eastAsia" w:ascii="楷体" w:hAnsi="楷体" w:eastAsia="楷体" w:cs="宋体"/>
          <w:b/>
          <w:kern w:val="0"/>
          <w:sz w:val="28"/>
          <w:szCs w:val="28"/>
          <w:lang w:val="en-US" w:eastAsia="zh-CN"/>
        </w:rPr>
        <w:t>启源货币1号</w:t>
      </w:r>
      <w:r>
        <w:rPr>
          <w:rFonts w:hint="eastAsia" w:ascii="楷体" w:hAnsi="楷体" w:eastAsia="楷体" w:cs="宋体"/>
          <w:b/>
          <w:kern w:val="0"/>
          <w:sz w:val="28"/>
          <w:szCs w:val="28"/>
        </w:rPr>
        <w:t>”理财产品说明书</w:t>
      </w:r>
    </w:p>
    <w:p>
      <w:pPr>
        <w:pStyle w:val="12"/>
        <w:keepNext w:val="0"/>
        <w:keepLines w:val="0"/>
        <w:pageBreakBefore w:val="0"/>
        <w:wordWrap/>
        <w:topLinePunct w:val="0"/>
        <w:autoSpaceDE/>
        <w:autoSpaceDN/>
        <w:bidi w:val="0"/>
        <w:spacing w:before="0" w:beforeAutospacing="0" w:after="0" w:afterAutospacing="0"/>
        <w:jc w:val="center"/>
        <w:textAlignment w:val="auto"/>
        <w:rPr>
          <w:rFonts w:hint="eastAsia"/>
          <w:highlight w:val="none"/>
        </w:rPr>
      </w:pPr>
      <w:r>
        <w:rPr>
          <w:rFonts w:hint="eastAsia" w:ascii="楷体" w:hAnsi="楷体" w:eastAsia="楷体" w:cs="Times New Roman"/>
          <w:kern w:val="2"/>
          <w:sz w:val="21"/>
          <w:szCs w:val="21"/>
          <w:highlight w:val="none"/>
        </w:rPr>
        <w:t>（</w:t>
      </w:r>
      <w:r>
        <w:rPr>
          <w:rFonts w:hint="eastAsia" w:ascii="楷体" w:hAnsi="楷体" w:eastAsia="楷体" w:cs="Times New Roman"/>
          <w:b/>
          <w:bCs/>
          <w:kern w:val="2"/>
          <w:sz w:val="21"/>
          <w:szCs w:val="21"/>
          <w:highlight w:val="none"/>
          <w:lang w:val="en-US" w:eastAsia="zh-CN"/>
        </w:rPr>
        <w:t>2026年4月版</w:t>
      </w:r>
      <w:r>
        <w:rPr>
          <w:rFonts w:hint="eastAsia" w:ascii="楷体" w:hAnsi="楷体" w:eastAsia="楷体" w:cs="Times New Roman"/>
          <w:kern w:val="2"/>
          <w:sz w:val="21"/>
          <w:szCs w:val="21"/>
          <w:highlight w:val="none"/>
        </w:rPr>
        <w:t>）</w:t>
      </w:r>
    </w:p>
    <w:p>
      <w:pPr>
        <w:keepNext w:val="0"/>
        <w:keepLines w:val="0"/>
        <w:pageBreakBefore w:val="0"/>
        <w:wordWrap/>
        <w:topLinePunct w:val="0"/>
        <w:autoSpaceDE/>
        <w:autoSpaceDN/>
        <w:bidi w:val="0"/>
        <w:jc w:val="center"/>
        <w:textAlignment w:val="auto"/>
        <w:rPr>
          <w:rFonts w:hint="eastAsia" w:ascii="楷体" w:hAnsi="楷体" w:eastAsia="楷体" w:cs="宋体"/>
          <w:b/>
          <w:kern w:val="0"/>
          <w:sz w:val="24"/>
          <w:szCs w:val="24"/>
        </w:rPr>
      </w:pPr>
      <w:r>
        <w:rPr>
          <w:rFonts w:hint="eastAsia" w:ascii="楷体" w:hAnsi="楷体" w:eastAsia="楷体" w:cs="宋体"/>
          <w:b/>
          <w:kern w:val="0"/>
          <w:sz w:val="24"/>
          <w:szCs w:val="24"/>
        </w:rPr>
        <w:t>理财非存款、产品有风险、投资须谨慎</w:t>
      </w:r>
    </w:p>
    <w:p>
      <w:pPr>
        <w:keepNext w:val="0"/>
        <w:keepLines w:val="0"/>
        <w:pageBreakBefore w:val="0"/>
        <w:wordWrap/>
        <w:topLinePunct w:val="0"/>
        <w:autoSpaceDE/>
        <w:autoSpaceDN/>
        <w:bidi w:val="0"/>
        <w:textAlignment w:val="auto"/>
        <w:rPr>
          <w:rFonts w:hint="eastAsia" w:ascii="楷体" w:hAnsi="楷体" w:eastAsia="楷体"/>
          <w:b/>
          <w:szCs w:val="21"/>
        </w:rPr>
      </w:pPr>
      <w:r>
        <w:rPr>
          <w:rFonts w:hint="eastAsia" w:ascii="楷体" w:hAnsi="楷体" w:eastAsia="楷体"/>
          <w:b/>
          <w:szCs w:val="21"/>
        </w:rPr>
        <w:t>重要须知</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szCs w:val="21"/>
        </w:rPr>
        <w:t>在购买本理财产品前，投资者应确保自己完全理解该项投资的性质和所涉及的风险，详细了解和审慎评估该理财产品的</w:t>
      </w:r>
      <w:r>
        <w:rPr>
          <w:rFonts w:hint="eastAsia" w:ascii="楷体" w:hAnsi="楷体" w:eastAsia="楷体"/>
          <w:szCs w:val="21"/>
          <w:lang w:val="en-US" w:eastAsia="zh-CN"/>
        </w:rPr>
        <w:t>投资范围</w:t>
      </w:r>
      <w:r>
        <w:rPr>
          <w:rFonts w:hint="eastAsia" w:ascii="楷体" w:hAnsi="楷体" w:eastAsia="楷体"/>
          <w:szCs w:val="21"/>
        </w:rPr>
        <w:t>、风险类型等基本情况，在慎重考虑后自行决定购买与自身风险承受能力和资产管理需求匹配的理财产品。</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b/>
          <w:szCs w:val="21"/>
          <w:u w:val="single"/>
        </w:rPr>
      </w:pPr>
      <w:r>
        <w:rPr>
          <w:rFonts w:hint="eastAsia" w:ascii="楷体" w:hAnsi="楷体" w:eastAsia="楷体"/>
          <w:b/>
          <w:szCs w:val="21"/>
          <w:u w:val="single"/>
        </w:rPr>
        <w:t>本理财产品不保证本金及收益，您的本金可能因市场变动或者交易违约等事项而蒙受相应损失，投资者应充分认识投资风险，谨慎投资。</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b/>
          <w:szCs w:val="21"/>
          <w:u w:val="single"/>
        </w:rPr>
      </w:pPr>
      <w:r>
        <w:rPr>
          <w:rFonts w:hint="eastAsia" w:ascii="楷体" w:hAnsi="楷体" w:eastAsia="楷体"/>
          <w:b/>
          <w:szCs w:val="21"/>
          <w:u w:val="single"/>
        </w:rPr>
        <w:t>本理财产品过往业绩不代表其未来表现，不等于理财产品实际收益，投资须谨慎；理财非存款、产品有风险、投资须谨慎。</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b/>
          <w:szCs w:val="21"/>
          <w:u w:val="single"/>
        </w:rPr>
        <w:t>本理财产品任何业绩比较基准及类似表述均属不具有法律约束力的用语。业绩比较基准为管理人基于产品性质、投资策略、过往经验等因素对产品设定的投资目标。业绩比较基准不是预期收益率，不代表产品的未来表现和实际收益，不构成对产品收益的承诺。</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szCs w:val="21"/>
        </w:rPr>
        <w:t>《风险揭示书》、《理财产品说明书》、《理财产品投资协议书》、《投资者权益须知》、《理财产品（代理）销售协议书》共同构成本理财产品完整的不可分割的理财产品合同。</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szCs w:val="21"/>
        </w:rPr>
        <w:t>本理财产品涉及的主要风险包括政策风险、信用风险、市场风险、流动性风险、管理风险、操作风险、延期兑付风险、提前终止风险、信息传递风险、代销风险（如有）、不可抗力风险、关联关系及关联交易风险</w:t>
      </w:r>
      <w:r>
        <w:rPr>
          <w:rFonts w:hint="eastAsia" w:ascii="楷体" w:hAnsi="楷体" w:eastAsia="楷体"/>
          <w:szCs w:val="21"/>
          <w:lang w:eastAsia="zh-CN"/>
        </w:rPr>
        <w:t>、</w:t>
      </w:r>
      <w:r>
        <w:rPr>
          <w:rFonts w:hint="eastAsia" w:ascii="楷体" w:hAnsi="楷体" w:eastAsia="楷体"/>
          <w:szCs w:val="21"/>
        </w:rPr>
        <w:t>特定投资标的风险等。请仔细阅读《“苏银理财</w:t>
      </w:r>
      <w:r>
        <w:rPr>
          <w:rFonts w:hint="eastAsia" w:ascii="楷体" w:hAnsi="楷体" w:eastAsia="楷体"/>
          <w:szCs w:val="21"/>
          <w:lang w:eastAsia="zh-CN"/>
        </w:rPr>
        <w:t>启源货币1号</w:t>
      </w:r>
      <w:r>
        <w:rPr>
          <w:rFonts w:hint="eastAsia" w:ascii="楷体" w:hAnsi="楷体" w:eastAsia="楷体"/>
          <w:szCs w:val="21"/>
        </w:rPr>
        <w:t>”理财产品风险揭示书》的“风险揭示”部分。</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b/>
          <w:szCs w:val="21"/>
          <w:u w:val="single"/>
        </w:rPr>
        <w:t>本产品可设置多</w:t>
      </w:r>
      <w:r>
        <w:rPr>
          <w:rFonts w:hint="eastAsia" w:ascii="楷体" w:hAnsi="楷体" w:eastAsia="楷体"/>
          <w:b/>
          <w:szCs w:val="21"/>
          <w:u w:val="single"/>
          <w:lang w:val="en-US" w:eastAsia="zh-CN"/>
        </w:rPr>
        <w:t>类</w:t>
      </w:r>
      <w:r>
        <w:rPr>
          <w:rFonts w:hint="eastAsia" w:ascii="楷体" w:hAnsi="楷体" w:eastAsia="楷体"/>
          <w:b/>
          <w:szCs w:val="21"/>
          <w:u w:val="single"/>
        </w:rPr>
        <w:t>份额，各</w:t>
      </w:r>
      <w:r>
        <w:rPr>
          <w:rFonts w:hint="eastAsia" w:ascii="楷体" w:hAnsi="楷体" w:eastAsia="楷体"/>
          <w:b/>
          <w:szCs w:val="21"/>
          <w:u w:val="single"/>
          <w:lang w:val="en-US" w:eastAsia="zh-CN"/>
        </w:rPr>
        <w:t>类</w:t>
      </w:r>
      <w:r>
        <w:rPr>
          <w:rFonts w:hint="eastAsia" w:ascii="楷体" w:hAnsi="楷体" w:eastAsia="楷体"/>
          <w:b/>
          <w:szCs w:val="21"/>
          <w:u w:val="single"/>
        </w:rPr>
        <w:t>份额可能设置不同的销售对象、销售起点、业绩比较基准等，各</w:t>
      </w:r>
      <w:r>
        <w:rPr>
          <w:rFonts w:hint="eastAsia" w:ascii="楷体" w:hAnsi="楷体" w:eastAsia="楷体"/>
          <w:b/>
          <w:szCs w:val="21"/>
          <w:u w:val="single"/>
          <w:lang w:val="en-US" w:eastAsia="zh-CN"/>
        </w:rPr>
        <w:t>类</w:t>
      </w:r>
      <w:r>
        <w:rPr>
          <w:rFonts w:hint="eastAsia" w:ascii="楷体" w:hAnsi="楷体" w:eastAsia="楷体"/>
          <w:b/>
          <w:szCs w:val="21"/>
          <w:u w:val="single"/>
        </w:rPr>
        <w:t>份额实际收取的销售服务费率、投资管理费率、超额业绩报酬（如有）等可能存在差异，投资者应根据实际情况自主选择购买。</w:t>
      </w:r>
    </w:p>
    <w:p>
      <w:pPr>
        <w:keepNext w:val="0"/>
        <w:keepLines w:val="0"/>
        <w:pageBreakBefore w:val="0"/>
        <w:numPr>
          <w:ilvl w:val="0"/>
          <w:numId w:val="1"/>
        </w:numPr>
        <w:wordWrap/>
        <w:topLinePunct w:val="0"/>
        <w:autoSpaceDE/>
        <w:autoSpaceDN/>
        <w:bidi w:val="0"/>
        <w:ind w:left="420" w:hanging="420"/>
        <w:textAlignment w:val="auto"/>
        <w:rPr>
          <w:rFonts w:hint="eastAsia" w:ascii="楷体" w:hAnsi="楷体" w:eastAsia="楷体"/>
          <w:szCs w:val="21"/>
        </w:rPr>
      </w:pPr>
      <w:r>
        <w:rPr>
          <w:rFonts w:hint="eastAsia" w:ascii="楷体" w:hAnsi="楷体" w:eastAsia="楷体"/>
          <w:b/>
          <w:szCs w:val="21"/>
          <w:u w:val="single"/>
        </w:rPr>
        <w:t>投资者不得使用贷款、发行债券等筹集的非自有资金投资本理财产品。</w:t>
      </w:r>
    </w:p>
    <w:p>
      <w:pPr>
        <w:keepNext w:val="0"/>
        <w:keepLines w:val="0"/>
        <w:pageBreakBefore w:val="0"/>
        <w:numPr>
          <w:ilvl w:val="0"/>
          <w:numId w:val="1"/>
        </w:numPr>
        <w:wordWrap/>
        <w:topLinePunct w:val="0"/>
        <w:autoSpaceDE/>
        <w:autoSpaceDN/>
        <w:bidi w:val="0"/>
        <w:ind w:left="420" w:hanging="420"/>
        <w:textAlignment w:val="auto"/>
        <w:rPr>
          <w:szCs w:val="21"/>
        </w:rPr>
      </w:pPr>
      <w:r>
        <w:rPr>
          <w:rFonts w:hint="eastAsia" w:ascii="楷体" w:hAnsi="楷体" w:eastAsia="楷体"/>
          <w:szCs w:val="21"/>
        </w:rPr>
        <w:t>在本产品存续期内，如因监管政策或法律法规发生变化，在不损害投资者利益的前提下，苏银理财有权单方对本产品条款进行修订，并按本理财产品说明书约定的信息披露方式予以披露。</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0"/>
        <w:rPr>
          <w:rFonts w:hint="eastAsia" w:ascii="楷体" w:hAnsi="楷体" w:eastAsia="楷体"/>
          <w:b/>
          <w:szCs w:val="21"/>
        </w:rPr>
      </w:pPr>
      <w:r>
        <w:rPr>
          <w:rFonts w:hint="eastAsia" w:ascii="楷体" w:hAnsi="楷体" w:eastAsia="楷体"/>
          <w:b/>
          <w:szCs w:val="21"/>
        </w:rPr>
        <w:t>产品要素</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为保护投资者合法权益，尊重投资者的知情权和自主选择权，现将本理财产品的基本要素说明如下：</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产品名称</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highlight w:val="none"/>
                <w:lang w:eastAsia="zh-CN"/>
              </w:rPr>
            </w:pPr>
            <w:r>
              <w:rPr>
                <w:rFonts w:hint="eastAsia" w:ascii="楷体" w:hAnsi="楷体" w:eastAsia="楷体" w:cs="宋体"/>
                <w:spacing w:val="-2"/>
                <w:sz w:val="18"/>
                <w:szCs w:val="18"/>
                <w:highlight w:val="none"/>
              </w:rPr>
              <w:t>苏银理财</w:t>
            </w:r>
            <w:r>
              <w:rPr>
                <w:rFonts w:hint="eastAsia" w:ascii="楷体" w:hAnsi="楷体" w:eastAsia="楷体" w:cs="宋体"/>
                <w:spacing w:val="-2"/>
                <w:sz w:val="18"/>
                <w:szCs w:val="18"/>
                <w:highlight w:val="none"/>
                <w:lang w:eastAsia="zh-CN"/>
              </w:rPr>
              <w:t>启源货币1号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理财产品登记编码</w:t>
            </w:r>
          </w:p>
        </w:tc>
        <w:tc>
          <w:tcPr>
            <w:tcW w:w="7937"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Z7003123000204，投资者可依据该编码在中国理财网</w:t>
            </w:r>
            <w:r>
              <w:rPr>
                <w:rFonts w:ascii="楷体" w:hAnsi="楷体" w:eastAsia="楷体" w:cs="宋体"/>
                <w:spacing w:val="-2"/>
                <w:sz w:val="18"/>
                <w:szCs w:val="18"/>
                <w:highlight w:val="none"/>
              </w:rPr>
              <w:t>www.chinawealth.com</w:t>
            </w:r>
            <w:r>
              <w:rPr>
                <w:rFonts w:hint="eastAsia" w:ascii="楷体" w:hAnsi="楷体" w:eastAsia="楷体" w:cs="宋体"/>
                <w:spacing w:val="-2"/>
                <w:sz w:val="18"/>
                <w:szCs w:val="18"/>
                <w:highlight w:val="none"/>
              </w:rPr>
              <w:t>.</w:t>
            </w:r>
            <w:r>
              <w:rPr>
                <w:rFonts w:ascii="楷体" w:hAnsi="楷体" w:eastAsia="楷体" w:cs="宋体"/>
                <w:spacing w:val="-2"/>
                <w:sz w:val="18"/>
                <w:szCs w:val="18"/>
                <w:highlight w:val="none"/>
              </w:rPr>
              <w:t>cn</w:t>
            </w:r>
            <w:r>
              <w:rPr>
                <w:rFonts w:hint="eastAsia" w:ascii="楷体" w:hAnsi="楷体" w:eastAsia="楷体" w:cs="宋体"/>
                <w:spacing w:val="-2"/>
                <w:sz w:val="18"/>
                <w:szCs w:val="18"/>
                <w:highlight w:val="none"/>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highlight w:val="none"/>
              </w:rPr>
            </w:pPr>
            <w:r>
              <w:rPr>
                <w:rFonts w:hint="eastAsia" w:ascii="楷体" w:hAnsi="楷体" w:eastAsia="楷体" w:cs="宋体"/>
                <w:b/>
                <w:spacing w:val="-2"/>
                <w:sz w:val="18"/>
                <w:szCs w:val="18"/>
                <w:highlight w:val="none"/>
              </w:rPr>
              <w:t>销售名称/销售代码</w:t>
            </w:r>
          </w:p>
        </w:tc>
        <w:tc>
          <w:tcPr>
            <w:tcW w:w="7937"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A份额：苏银理财启源货币1号A/J02872</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F份额：苏银理财启源货币1号F/J02982</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G份额：苏银理财启源货币1号G/J02983</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H份额：苏银理财启源货币1号H/J03015</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W份额：苏银理财启源货币1号W/J03072</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I份额：苏银理财启源货币1号I/J03457</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J份额：苏银理财启源货币1号J/J03498</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JS份额：苏银理财启源货币1号JS鑫福款/J03577</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K份额：苏银理财启源货币1号K/J03631</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M份额：苏银理财启源货币1号M/J03806</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N份额：苏银理财启源货币1号N/J03852</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P份额：苏银理财启源货币1号P/J04621</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DG份额：苏银理财启源货币1号DG/J04801</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XN份额：苏银理财启源货币1号XN/J04802</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T份额：苏银理财启源货币1号T/J09502</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default" w:ascii="楷体" w:hAnsi="楷体" w:eastAsia="楷体" w:cs="宋体"/>
                <w:spacing w:val="-2"/>
                <w:sz w:val="18"/>
                <w:szCs w:val="18"/>
                <w:highlight w:val="none"/>
                <w:lang w:val="en-US" w:eastAsia="zh-CN"/>
              </w:rPr>
              <w:t>Q份额：苏银理财启源货币1号Q</w:t>
            </w:r>
            <w:r>
              <w:rPr>
                <w:rFonts w:hint="eastAsia" w:ascii="楷体" w:hAnsi="楷体" w:eastAsia="楷体" w:cs="宋体"/>
                <w:spacing w:val="-2"/>
                <w:sz w:val="18"/>
                <w:szCs w:val="18"/>
                <w:highlight w:val="none"/>
                <w:lang w:val="en-US" w:eastAsia="zh-CN"/>
              </w:rPr>
              <w:t>/J17288</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default" w:ascii="楷体" w:hAnsi="楷体" w:eastAsia="楷体" w:cs="宋体"/>
                <w:spacing w:val="-2"/>
                <w:sz w:val="18"/>
                <w:szCs w:val="18"/>
                <w:highlight w:val="none"/>
                <w:lang w:val="en-US" w:eastAsia="zh-CN"/>
              </w:rPr>
            </w:pPr>
            <w:r>
              <w:rPr>
                <w:rFonts w:hint="default" w:ascii="楷体" w:hAnsi="楷体" w:eastAsia="楷体" w:cs="宋体"/>
                <w:spacing w:val="-2"/>
                <w:sz w:val="18"/>
                <w:szCs w:val="18"/>
                <w:highlight w:val="none"/>
                <w:lang w:val="en-US" w:eastAsia="zh-CN"/>
              </w:rPr>
              <w:t>C份额：苏银理财启源货币1号C/J17720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产品类型</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12"/>
              <w:ind w:right="115" w:rightChars="55"/>
              <w:jc w:val="both"/>
              <w:textAlignment w:val="auto"/>
              <w:rPr>
                <w:rFonts w:hint="eastAsia" w:ascii="楷体" w:hAnsi="楷体" w:eastAsia="楷体" w:cs="宋体"/>
                <w:spacing w:val="-2"/>
                <w:sz w:val="18"/>
                <w:szCs w:val="18"/>
              </w:rPr>
            </w:pPr>
            <w:r>
              <w:rPr>
                <w:rFonts w:hint="eastAsia" w:ascii="楷体" w:hAnsi="楷体" w:eastAsia="楷体" w:cs="宋体"/>
                <w:b/>
                <w:spacing w:val="-2"/>
                <w:sz w:val="18"/>
                <w:szCs w:val="18"/>
                <w:u w:val="single"/>
              </w:rPr>
              <w:t>固定收益类（现金管理类）、公募、开放式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产品内部风险评级</w:t>
            </w:r>
          </w:p>
        </w:tc>
        <w:tc>
          <w:tcPr>
            <w:tcW w:w="7937" w:type="dxa"/>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sz w:val="18"/>
                <w:szCs w:val="18"/>
              </w:rPr>
            </w:pPr>
            <w:r>
              <w:rPr>
                <w:rFonts w:hint="eastAsia" w:ascii="楷体" w:hAnsi="楷体" w:eastAsia="楷体"/>
                <w:sz w:val="18"/>
                <w:szCs w:val="18"/>
              </w:rPr>
              <w:t>1.本理财产品经苏银理财内部风险</w:t>
            </w:r>
            <w:r>
              <w:rPr>
                <w:rFonts w:hint="eastAsia" w:ascii="楷体" w:hAnsi="楷体" w:eastAsia="楷体"/>
                <w:sz w:val="18"/>
                <w:szCs w:val="18"/>
                <w:highlight w:val="none"/>
              </w:rPr>
              <w:t>评级为</w:t>
            </w:r>
            <w:r>
              <w:rPr>
                <w:rFonts w:hint="eastAsia" w:ascii="楷体" w:hAnsi="楷体" w:eastAsia="楷体"/>
                <w:b/>
                <w:sz w:val="18"/>
                <w:szCs w:val="18"/>
                <w:highlight w:val="none"/>
                <w:u w:val="single"/>
              </w:rPr>
              <w:t>★一级，适合低风险型投资者，适合投资策略为风险控制的投资者</w:t>
            </w:r>
            <w:r>
              <w:rPr>
                <w:rFonts w:hint="eastAsia" w:ascii="楷体" w:hAnsi="楷体" w:eastAsia="楷体"/>
                <w:sz w:val="18"/>
                <w:szCs w:val="18"/>
                <w:highlight w:val="none"/>
              </w:rPr>
              <w:t>。本评级为管理人内部评级，由</w:t>
            </w:r>
            <w:r>
              <w:rPr>
                <w:rFonts w:hint="eastAsia" w:ascii="楷体" w:hAnsi="楷体" w:eastAsia="楷体"/>
                <w:sz w:val="18"/>
                <w:szCs w:val="18"/>
              </w:rPr>
              <w:t>管理人根据理财产品的投资组合、同类产品过往业绩和风险状况等因素，对理财产品进行评级，仅供投资者参考。</w:t>
            </w:r>
          </w:p>
          <w:tbl>
            <w:tblPr>
              <w:tblStyle w:val="14"/>
              <w:tblW w:w="4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487"/>
              <w:gridCol w:w="203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风险星级</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风险级别</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适合的投资者类别</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tcBorders>
                    <w:bottom w:val="single" w:color="auto" w:sz="4" w:space="0"/>
                  </w:tcBorders>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w:t>
                  </w:r>
                </w:p>
              </w:tc>
              <w:tc>
                <w:tcPr>
                  <w:tcW w:w="1095" w:type="pct"/>
                  <w:tcBorders>
                    <w:bottom w:val="single" w:color="auto" w:sz="4" w:space="0"/>
                  </w:tcBorders>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一级（PR1）</w:t>
                  </w:r>
                </w:p>
              </w:tc>
              <w:tc>
                <w:tcPr>
                  <w:tcW w:w="1493" w:type="pct"/>
                  <w:tcBorders>
                    <w:bottom w:val="single" w:color="auto" w:sz="4" w:space="0"/>
                  </w:tcBorders>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低风险型</w:t>
                  </w:r>
                </w:p>
              </w:tc>
              <w:tc>
                <w:tcPr>
                  <w:tcW w:w="1229" w:type="pct"/>
                  <w:tcBorders>
                    <w:bottom w:val="single" w:color="auto" w:sz="4" w:space="0"/>
                  </w:tcBorders>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b/>
                      <w:kern w:val="0"/>
                      <w:sz w:val="18"/>
                      <w:szCs w:val="18"/>
                    </w:rPr>
                  </w:pPr>
                  <w:r>
                    <w:rPr>
                      <w:rFonts w:hint="eastAsia" w:ascii="楷体" w:hAnsi="楷体" w:eastAsia="楷体" w:cs="浠垮畫"/>
                      <w:b/>
                      <w:kern w:val="0"/>
                      <w:sz w:val="18"/>
                      <w:szCs w:val="18"/>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二级（PR2）</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中低风险型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三级（PR3）</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中风险型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四级（PR4）</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中高风险型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1" w:type="pct"/>
                  <w:vAlign w:val="bottom"/>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w:t>
                  </w:r>
                </w:p>
              </w:tc>
              <w:tc>
                <w:tcPr>
                  <w:tcW w:w="1095"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五级（PR5）</w:t>
                  </w:r>
                </w:p>
              </w:tc>
              <w:tc>
                <w:tcPr>
                  <w:tcW w:w="1493"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高风险型</w:t>
                  </w:r>
                </w:p>
              </w:tc>
              <w:tc>
                <w:tcPr>
                  <w:tcW w:w="1229" w:type="pct"/>
                  <w:vAlign w:val="center"/>
                </w:tcPr>
                <w:p>
                  <w:pPr>
                    <w:keepNext w:val="0"/>
                    <w:keepLines w:val="0"/>
                    <w:pageBreakBefore w:val="0"/>
                    <w:wordWrap/>
                    <w:topLinePunct w:val="0"/>
                    <w:autoSpaceDE/>
                    <w:autoSpaceDN/>
                    <w:bidi w:val="0"/>
                    <w:snapToGrid w:val="0"/>
                    <w:spacing w:line="0" w:lineRule="atLeast"/>
                    <w:jc w:val="center"/>
                    <w:textAlignment w:val="auto"/>
                    <w:rPr>
                      <w:rFonts w:hint="eastAsia" w:ascii="楷体" w:hAnsi="楷体" w:eastAsia="楷体" w:cs="浠垮畫"/>
                      <w:kern w:val="0"/>
                      <w:sz w:val="18"/>
                      <w:szCs w:val="18"/>
                    </w:rPr>
                  </w:pPr>
                  <w:r>
                    <w:rPr>
                      <w:rFonts w:hint="eastAsia" w:ascii="楷体" w:hAnsi="楷体" w:eastAsia="楷体" w:cs="浠垮畫"/>
                      <w:kern w:val="0"/>
                      <w:sz w:val="18"/>
                      <w:szCs w:val="18"/>
                    </w:rPr>
                    <w:t>风险承受</w:t>
                  </w:r>
                </w:p>
              </w:tc>
            </w:tr>
          </w:tbl>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b/>
                <w:sz w:val="18"/>
                <w:szCs w:val="18"/>
                <w:u w:val="single"/>
              </w:rPr>
            </w:pPr>
            <w:r>
              <w:rPr>
                <w:rFonts w:hint="eastAsia" w:ascii="楷体" w:hAnsi="楷体" w:eastAsia="楷体"/>
                <w:sz w:val="18"/>
                <w:szCs w:val="18"/>
              </w:rPr>
              <w:t>2.如本产品通过代理销售机构渠道销售，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r>
              <w:rPr>
                <w:rFonts w:hint="eastAsia" w:ascii="楷体" w:hAnsi="楷体" w:eastAsia="楷体"/>
                <w:b/>
                <w:bCs/>
                <w:sz w:val="18"/>
                <w:szCs w:val="18"/>
                <w:u w:val="single"/>
              </w:rPr>
              <w:t>如本产品通过代理销售机构渠道销售，理财产品评级以代理销售机构最终披露的评级结果为准。</w:t>
            </w:r>
          </w:p>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sz w:val="18"/>
                <w:szCs w:val="18"/>
              </w:rPr>
              <w:t>3.销售机构负责完成投资者风险承受能力评估，并在遵循投资者适当性原则的前提下进行本理财产品的销售活动。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销售对象</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default"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rPr>
              <w:t>个人和机构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币种</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bCs/>
                <w:spacing w:val="-2"/>
                <w:sz w:val="18"/>
                <w:szCs w:val="18"/>
              </w:rPr>
            </w:pPr>
            <w:r>
              <w:rPr>
                <w:rFonts w:hint="eastAsia" w:ascii="楷体" w:hAnsi="楷体" w:eastAsia="楷体" w:cs="宋体"/>
                <w:b/>
                <w:spacing w:val="-2"/>
                <w:sz w:val="18"/>
                <w:szCs w:val="18"/>
              </w:rPr>
              <w:t>份额面值</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b/>
                <w:bCs/>
                <w:spacing w:val="-2"/>
                <w:sz w:val="18"/>
                <w:szCs w:val="18"/>
              </w:rPr>
              <w:t>计划发行规模</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本产品计划</w:t>
            </w:r>
            <w:r>
              <w:rPr>
                <w:rFonts w:hint="eastAsia" w:ascii="楷体" w:hAnsi="楷体" w:eastAsia="楷体" w:cs="宋体"/>
                <w:spacing w:val="-2"/>
                <w:sz w:val="18"/>
                <w:szCs w:val="18"/>
                <w:lang w:val="en-US" w:eastAsia="zh-CN"/>
              </w:rPr>
              <w:t>发行</w:t>
            </w:r>
            <w:r>
              <w:rPr>
                <w:rFonts w:hint="eastAsia" w:ascii="楷体" w:hAnsi="楷体" w:eastAsia="楷体" w:cs="宋体"/>
                <w:spacing w:val="-2"/>
                <w:sz w:val="18"/>
                <w:szCs w:val="18"/>
              </w:rPr>
              <w:t>规模</w:t>
            </w:r>
            <w:r>
              <w:rPr>
                <w:rFonts w:hint="eastAsia" w:ascii="楷体" w:hAnsi="楷体" w:eastAsia="楷体" w:cs="宋体"/>
                <w:spacing w:val="-2"/>
                <w:sz w:val="18"/>
                <w:szCs w:val="18"/>
                <w:lang w:val="en-US" w:eastAsia="zh-CN"/>
              </w:rPr>
              <w:t>500</w:t>
            </w:r>
            <w:r>
              <w:rPr>
                <w:rFonts w:hint="eastAsia" w:ascii="楷体" w:hAnsi="楷体" w:eastAsia="楷体" w:cs="宋体"/>
                <w:spacing w:val="-2"/>
                <w:sz w:val="18"/>
                <w:szCs w:val="18"/>
              </w:rPr>
              <w:t>亿元，</w:t>
            </w:r>
            <w:r>
              <w:rPr>
                <w:rFonts w:hint="eastAsia" w:ascii="楷体" w:hAnsi="楷体" w:eastAsia="楷体" w:cs="宋体"/>
                <w:spacing w:val="-2"/>
                <w:sz w:val="18"/>
                <w:szCs w:val="18"/>
                <w:highlight w:val="none"/>
              </w:rPr>
              <w:t>管理人有权根据实</w:t>
            </w:r>
            <w:r>
              <w:rPr>
                <w:rFonts w:hint="eastAsia" w:ascii="楷体" w:hAnsi="楷体" w:eastAsia="楷体" w:cs="宋体"/>
                <w:spacing w:val="-2"/>
                <w:sz w:val="18"/>
                <w:szCs w:val="18"/>
              </w:rPr>
              <w:t>际需要调整计划发行规模。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最低发行规模</w:t>
            </w:r>
          </w:p>
        </w:tc>
        <w:tc>
          <w:tcPr>
            <w:tcW w:w="7937" w:type="dxa"/>
            <w:vAlign w:val="center"/>
          </w:tcPr>
          <w:p>
            <w:pPr>
              <w:keepNext w:val="0"/>
              <w:keepLines w:val="0"/>
              <w:pageBreakBefore w:val="0"/>
              <w:wordWrap/>
              <w:topLinePunct w:val="0"/>
              <w:autoSpaceDE/>
              <w:autoSpaceDN/>
              <w:bidi w:val="0"/>
              <w:snapToGrid w:val="0"/>
              <w:ind w:left="21" w:leftChars="10" w:right="21" w:rightChars="10"/>
              <w:jc w:val="both"/>
              <w:textAlignment w:val="auto"/>
              <w:rPr>
                <w:rFonts w:hint="eastAsia" w:ascii="楷体" w:hAnsi="楷体" w:eastAsia="楷体"/>
                <w:sz w:val="18"/>
                <w:szCs w:val="18"/>
                <w:highlight w:val="yellow"/>
              </w:rPr>
            </w:pPr>
            <w:r>
              <w:rPr>
                <w:rFonts w:hint="eastAsia" w:ascii="楷体" w:hAnsi="楷体" w:eastAsia="楷体" w:cs="宋体"/>
                <w:spacing w:val="-2"/>
                <w:sz w:val="18"/>
                <w:szCs w:val="18"/>
              </w:rPr>
              <w:t>本产品最低发行规模为</w:t>
            </w:r>
            <w:r>
              <w:rPr>
                <w:rFonts w:hint="eastAsia" w:ascii="楷体" w:hAnsi="楷体" w:eastAsia="楷体" w:cs="宋体"/>
                <w:spacing w:val="-2"/>
                <w:sz w:val="18"/>
                <w:szCs w:val="18"/>
                <w:highlight w:val="none"/>
                <w:lang w:val="en-US" w:eastAsia="zh-CN"/>
              </w:rPr>
              <w:t>3000</w:t>
            </w:r>
            <w:r>
              <w:rPr>
                <w:rFonts w:hint="eastAsia" w:ascii="楷体" w:hAnsi="楷体" w:eastAsia="楷体" w:cs="宋体"/>
                <w:spacing w:val="-2"/>
                <w:sz w:val="18"/>
                <w:szCs w:val="18"/>
                <w:highlight w:val="none"/>
              </w:rPr>
              <w:t>万元，管理人</w:t>
            </w:r>
            <w:r>
              <w:rPr>
                <w:rFonts w:hint="eastAsia" w:ascii="楷体" w:hAnsi="楷体" w:eastAsia="楷体" w:cs="宋体"/>
                <w:spacing w:val="-2"/>
                <w:sz w:val="18"/>
                <w:szCs w:val="18"/>
              </w:rPr>
              <w:t>有权根据实际需要调整最低发行规模。若产品认购规模未达到最低发行规模，或新的法律、法规或监管政策导致本产品无法合法合规运行，或出现其他导致影响产品成立不可抗力因素，产品管理人有权利但无义务宣布产品不成立，并于产品募集期结束后5个工作日内将投资者认购资金返还至投资者资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购买起点</w:t>
            </w:r>
            <w:r>
              <w:rPr>
                <w:rFonts w:ascii="楷体" w:hAnsi="楷体" w:eastAsia="楷体" w:cs="宋体"/>
                <w:b/>
                <w:spacing w:val="-2"/>
                <w:sz w:val="18"/>
                <w:szCs w:val="18"/>
              </w:rPr>
              <w:t>/</w:t>
            </w:r>
            <w:r>
              <w:rPr>
                <w:rFonts w:hint="eastAsia" w:ascii="楷体" w:hAnsi="楷体" w:eastAsia="楷体" w:cs="宋体"/>
                <w:b/>
                <w:spacing w:val="-2"/>
                <w:sz w:val="18"/>
                <w:szCs w:val="18"/>
              </w:rPr>
              <w:t>追加金额</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sz w:val="18"/>
                <w:szCs w:val="18"/>
                <w:highlight w:val="none"/>
                <w:lang w:val="en-US" w:eastAsia="zh-CN"/>
              </w:rPr>
            </w:pPr>
            <w:r>
              <w:rPr>
                <w:rFonts w:hint="eastAsia" w:ascii="楷体" w:hAnsi="楷体" w:eastAsia="楷体"/>
                <w:sz w:val="18"/>
                <w:szCs w:val="18"/>
                <w:highlight w:val="none"/>
                <w:lang w:val="en-US" w:eastAsia="zh-CN"/>
              </w:rPr>
              <w:t>A/F/G/H/W/I/J/JS/K/M/N/XN/T/Q/C份额：0.01元/0.01元的整数倍；</w:t>
            </w:r>
          </w:p>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sz w:val="18"/>
                <w:szCs w:val="18"/>
                <w:highlight w:val="none"/>
                <w:lang w:val="en-US" w:eastAsia="zh-CN"/>
              </w:rPr>
            </w:pPr>
            <w:r>
              <w:rPr>
                <w:rFonts w:hint="eastAsia" w:ascii="楷体" w:hAnsi="楷体" w:eastAsia="楷体"/>
                <w:sz w:val="18"/>
                <w:szCs w:val="18"/>
                <w:highlight w:val="none"/>
                <w:lang w:val="en-US" w:eastAsia="zh-CN"/>
              </w:rPr>
              <w:t>P份额：个人投资者0.01元/0.01元的整数倍，机构投资者3000万元/1万元的整数倍；</w:t>
            </w:r>
          </w:p>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sz w:val="18"/>
                <w:szCs w:val="18"/>
                <w:highlight w:val="none"/>
                <w:lang w:val="en-US" w:eastAsia="zh-CN"/>
              </w:rPr>
            </w:pPr>
            <w:r>
              <w:rPr>
                <w:rFonts w:hint="eastAsia" w:ascii="楷体" w:hAnsi="楷体" w:eastAsia="楷体"/>
                <w:sz w:val="18"/>
                <w:szCs w:val="18"/>
                <w:highlight w:val="none"/>
                <w:lang w:val="en-US" w:eastAsia="zh-CN"/>
              </w:rPr>
              <w:t>DG份额：个人投资者1元/0.01元的整数倍，机构投资者1万元/1元的整数倍。</w:t>
            </w:r>
          </w:p>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sz w:val="18"/>
                <w:szCs w:val="18"/>
                <w:highlight w:val="none"/>
              </w:rPr>
              <w:t>苏银理财</w:t>
            </w:r>
            <w:r>
              <w:rPr>
                <w:rFonts w:hint="eastAsia" w:ascii="楷体" w:hAnsi="楷体" w:eastAsia="楷体"/>
                <w:sz w:val="18"/>
                <w:szCs w:val="18"/>
              </w:rPr>
              <w:t>有权对上述起点金额和追加金额进行调整，并在调整前进行公告。（具体以销售机构设置为准）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highlight w:val="none"/>
              </w:rPr>
            </w:pPr>
            <w:r>
              <w:rPr>
                <w:rFonts w:hint="eastAsia" w:ascii="楷体" w:hAnsi="楷体" w:eastAsia="楷体" w:cs="宋体"/>
                <w:b/>
                <w:spacing w:val="-2"/>
                <w:sz w:val="18"/>
                <w:szCs w:val="18"/>
                <w:highlight w:val="none"/>
              </w:rPr>
              <w:t>募集期</w:t>
            </w:r>
          </w:p>
        </w:tc>
        <w:tc>
          <w:tcPr>
            <w:tcW w:w="7937"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lang w:val="en-US" w:eastAsia="zh-CN"/>
              </w:rPr>
            </w:pPr>
            <w:r>
              <w:rPr>
                <w:rFonts w:hint="eastAsia" w:ascii="楷体" w:hAnsi="楷体" w:eastAsia="楷体" w:cs="宋体"/>
                <w:spacing w:val="-2"/>
                <w:sz w:val="18"/>
                <w:szCs w:val="18"/>
                <w:highlight w:val="none"/>
                <w:lang w:val="en-US" w:eastAsia="zh-CN"/>
              </w:rPr>
              <w:t>2023年11月30日至2023年12月6日</w:t>
            </w:r>
          </w:p>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投资者可于募集期结束日交易闭市前撤销认购申请，该时点后不得撤销，募集期结束日交易闭市时间具体以销售机构设置为准。管理人在法律允许的范围内保留延长募集期或缩短募集期的权利。如有变动，实际产品募集期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产品成立日</w:t>
            </w:r>
          </w:p>
        </w:tc>
        <w:tc>
          <w:tcPr>
            <w:tcW w:w="7937"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lang w:val="en-US" w:eastAsia="zh-CN"/>
              </w:rPr>
              <w:t>2023年12月7日</w:t>
            </w:r>
            <w:r>
              <w:rPr>
                <w:rFonts w:hint="eastAsia" w:ascii="楷体" w:hAnsi="楷体" w:eastAsia="楷体" w:cs="宋体"/>
                <w:spacing w:val="-2"/>
                <w:sz w:val="18"/>
                <w:szCs w:val="18"/>
                <w:highlight w:val="none"/>
              </w:rPr>
              <w:t>。如管理人调整募集期，则产品成立日将相应调整，以管理人公告为准。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产品终止日/到期日</w:t>
            </w:r>
          </w:p>
        </w:tc>
        <w:tc>
          <w:tcPr>
            <w:tcW w:w="7937" w:type="dxa"/>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lang w:val="en-US" w:eastAsia="zh-CN"/>
              </w:rPr>
              <w:t>2033年12月30日</w:t>
            </w:r>
            <w:r>
              <w:rPr>
                <w:rFonts w:hint="eastAsia" w:ascii="楷体" w:hAnsi="楷体" w:eastAsia="楷体" w:cs="宋体"/>
                <w:spacing w:val="-2"/>
                <w:sz w:val="18"/>
                <w:szCs w:val="18"/>
                <w:highlight w:val="none"/>
              </w:rPr>
              <w:t>。如遇节假日，顺延至下一工作日。在符合产品说明书约定的条件下，管理人有权调整产品到期日，产品到期日受制于提前终止、延期终止条款。详见下文“产品终止”。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开放计划</w:t>
            </w:r>
          </w:p>
        </w:tc>
        <w:tc>
          <w:tcPr>
            <w:tcW w:w="7937" w:type="dxa"/>
            <w:vAlign w:val="center"/>
          </w:tcPr>
          <w:p>
            <w:pPr>
              <w:keepNext w:val="0"/>
              <w:keepLines w:val="0"/>
              <w:pageBreakBefore w:val="0"/>
              <w:tabs>
                <w:tab w:val="left" w:pos="728"/>
              </w:tabs>
              <w:wordWrap/>
              <w:topLinePunct w:val="0"/>
              <w:autoSpaceDE/>
              <w:autoSpaceDN/>
              <w:bidi w:val="0"/>
              <w:snapToGrid w:val="0"/>
              <w:ind w:left="21" w:leftChars="10" w:right="21" w:rightChars="10"/>
              <w:textAlignment w:val="auto"/>
              <w:rPr>
                <w:rFonts w:hint="eastAsia" w:ascii="楷体" w:hAnsi="楷体" w:eastAsia="楷体" w:cs="宋体"/>
                <w:spacing w:val="-2"/>
                <w:kern w:val="0"/>
                <w:sz w:val="18"/>
                <w:szCs w:val="18"/>
              </w:rPr>
            </w:pPr>
            <w:r>
              <w:rPr>
                <w:rFonts w:hint="eastAsia" w:ascii="楷体" w:hAnsi="楷体" w:eastAsia="楷体" w:cs="宋体"/>
                <w:spacing w:val="-2"/>
                <w:kern w:val="0"/>
                <w:sz w:val="18"/>
                <w:szCs w:val="18"/>
              </w:rPr>
              <w:t>本产品成立后接受</w:t>
            </w:r>
            <w:r>
              <w:rPr>
                <w:rFonts w:hint="eastAsia" w:ascii="楷体" w:hAnsi="楷体" w:eastAsia="楷体" w:cs="宋体"/>
                <w:spacing w:val="-2"/>
                <w:kern w:val="0"/>
                <w:sz w:val="18"/>
                <w:szCs w:val="18"/>
                <w:lang w:eastAsia="zh-CN"/>
              </w:rPr>
              <w:t>投资者</w:t>
            </w:r>
            <w:r>
              <w:rPr>
                <w:rFonts w:hint="eastAsia" w:ascii="楷体" w:hAnsi="楷体" w:eastAsia="楷体" w:cs="宋体"/>
                <w:spacing w:val="-2"/>
                <w:kern w:val="0"/>
                <w:sz w:val="18"/>
                <w:szCs w:val="18"/>
              </w:rPr>
              <w:t>申购/赎回申请。</w:t>
            </w:r>
            <w:r>
              <w:rPr>
                <w:rFonts w:hint="eastAsia" w:ascii="楷体" w:hAnsi="楷体" w:eastAsia="楷体" w:cs="宋体"/>
                <w:b/>
                <w:bCs/>
                <w:spacing w:val="-2"/>
                <w:kern w:val="0"/>
                <w:sz w:val="18"/>
                <w:szCs w:val="18"/>
              </w:rPr>
              <w:t>本产品开放日为国家法定工作日，即除国家法定节假日和休息日外的日期。</w:t>
            </w:r>
            <w:r>
              <w:rPr>
                <w:rFonts w:hint="eastAsia" w:ascii="楷体" w:hAnsi="楷体" w:eastAsia="楷体" w:cs="宋体"/>
                <w:spacing w:val="-2"/>
                <w:kern w:val="0"/>
                <w:sz w:val="18"/>
                <w:szCs w:val="18"/>
              </w:rPr>
              <w:t>管理人有权根据资产运作情况、节假日安排调整开放日，并在调整前进行公告。</w:t>
            </w:r>
          </w:p>
          <w:p>
            <w:pPr>
              <w:keepNext w:val="0"/>
              <w:keepLines w:val="0"/>
              <w:pageBreakBefore w:val="0"/>
              <w:tabs>
                <w:tab w:val="left" w:pos="728"/>
              </w:tabs>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spacing w:val="-2"/>
                <w:kern w:val="0"/>
                <w:sz w:val="18"/>
                <w:szCs w:val="18"/>
                <w:highlight w:val="none"/>
              </w:rPr>
              <w:t>本产品全部或部分份额支持夜市理财功能，但夜市理财功能闭市时间不得超过开放日24：00，夜市理财功能以销售机构设置为准。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highlight w:val="none"/>
              </w:rPr>
            </w:pPr>
            <w:r>
              <w:rPr>
                <w:rFonts w:hint="eastAsia" w:ascii="楷体" w:hAnsi="楷体" w:eastAsia="楷体" w:cs="宋体"/>
                <w:b/>
                <w:spacing w:val="-2"/>
                <w:sz w:val="18"/>
                <w:szCs w:val="18"/>
                <w:highlight w:val="none"/>
              </w:rPr>
              <w:t>单个</w:t>
            </w:r>
            <w:r>
              <w:rPr>
                <w:rFonts w:hint="eastAsia" w:ascii="楷体" w:hAnsi="楷体" w:eastAsia="楷体" w:cs="宋体"/>
                <w:b/>
                <w:spacing w:val="-2"/>
                <w:sz w:val="18"/>
                <w:szCs w:val="18"/>
                <w:highlight w:val="none"/>
                <w:lang w:eastAsia="zh-CN"/>
              </w:rPr>
              <w:t>投资者</w:t>
            </w:r>
            <w:r>
              <w:rPr>
                <w:rFonts w:hint="eastAsia" w:ascii="楷体" w:hAnsi="楷体" w:eastAsia="楷体" w:cs="宋体"/>
                <w:b/>
                <w:spacing w:val="-2"/>
                <w:sz w:val="18"/>
                <w:szCs w:val="18"/>
                <w:highlight w:val="none"/>
              </w:rPr>
              <w:t>单笔购买上限</w:t>
            </w:r>
          </w:p>
        </w:tc>
        <w:tc>
          <w:tcPr>
            <w:tcW w:w="7937"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highlight w:val="none"/>
                <w:u w:val="single"/>
              </w:rPr>
            </w:pPr>
            <w:r>
              <w:rPr>
                <w:rFonts w:hint="eastAsia" w:ascii="楷体" w:hAnsi="楷体" w:eastAsia="楷体" w:cs="宋体"/>
                <w:spacing w:val="-2"/>
                <w:sz w:val="18"/>
                <w:szCs w:val="18"/>
                <w:highlight w:val="none"/>
                <w:lang w:val="en-US" w:eastAsia="zh-CN"/>
              </w:rPr>
              <w:t>暂无</w:t>
            </w:r>
            <w:r>
              <w:rPr>
                <w:rFonts w:hint="eastAsia" w:ascii="楷体" w:hAnsi="楷体" w:eastAsia="楷体" w:cs="宋体"/>
                <w:spacing w:val="-2"/>
                <w:sz w:val="18"/>
                <w:szCs w:val="18"/>
                <w:highlight w:val="none"/>
              </w:rPr>
              <w:t>。超过购买上限时，管理人有权拒绝投资者购买申请。产品存续期</w:t>
            </w:r>
            <w:r>
              <w:rPr>
                <w:rFonts w:ascii="楷体" w:hAnsi="楷体" w:eastAsia="楷体" w:cs="宋体"/>
                <w:spacing w:val="-2"/>
                <w:sz w:val="18"/>
                <w:szCs w:val="18"/>
                <w:highlight w:val="none"/>
              </w:rPr>
              <w:t>内管理人有权根据实际情况调整</w:t>
            </w:r>
            <w:r>
              <w:rPr>
                <w:rFonts w:hint="eastAsia" w:ascii="楷体" w:hAnsi="楷体" w:eastAsia="楷体" w:cs="宋体"/>
                <w:spacing w:val="-2"/>
                <w:sz w:val="18"/>
                <w:szCs w:val="18"/>
                <w:highlight w:val="none"/>
              </w:rPr>
              <w:t>单个</w:t>
            </w:r>
            <w:r>
              <w:rPr>
                <w:rFonts w:hint="eastAsia" w:ascii="楷体" w:hAnsi="楷体" w:eastAsia="楷体" w:cs="宋体"/>
                <w:spacing w:val="-2"/>
                <w:sz w:val="18"/>
                <w:szCs w:val="18"/>
                <w:highlight w:val="none"/>
                <w:lang w:eastAsia="zh-CN"/>
              </w:rPr>
              <w:t>投资者</w:t>
            </w:r>
            <w:r>
              <w:rPr>
                <w:rFonts w:hint="eastAsia" w:ascii="楷体" w:hAnsi="楷体" w:eastAsia="楷体" w:cs="宋体"/>
                <w:spacing w:val="-2"/>
                <w:sz w:val="18"/>
                <w:szCs w:val="18"/>
                <w:highlight w:val="none"/>
              </w:rPr>
              <w:t>单笔购买上限。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单一</w:t>
            </w:r>
            <w:r>
              <w:rPr>
                <w:rFonts w:hint="eastAsia" w:ascii="楷体" w:hAnsi="楷体" w:eastAsia="楷体" w:cs="宋体"/>
                <w:b/>
                <w:spacing w:val="-2"/>
                <w:sz w:val="18"/>
                <w:szCs w:val="18"/>
                <w:lang w:eastAsia="zh-CN"/>
              </w:rPr>
              <w:t>投资者</w:t>
            </w:r>
            <w:r>
              <w:rPr>
                <w:rFonts w:ascii="楷体" w:hAnsi="楷体" w:eastAsia="楷体" w:cs="宋体"/>
                <w:b/>
                <w:spacing w:val="-2"/>
                <w:sz w:val="18"/>
                <w:szCs w:val="18"/>
              </w:rPr>
              <w:t>赎回</w:t>
            </w:r>
            <w:r>
              <w:rPr>
                <w:rFonts w:hint="eastAsia" w:ascii="楷体" w:hAnsi="楷体" w:eastAsia="楷体" w:cs="宋体"/>
                <w:b/>
                <w:spacing w:val="-2"/>
                <w:sz w:val="18"/>
                <w:szCs w:val="18"/>
              </w:rPr>
              <w:t>限制</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bCs/>
                <w:spacing w:val="-2"/>
                <w:sz w:val="18"/>
                <w:szCs w:val="18"/>
                <w:u w:val="single"/>
              </w:rPr>
            </w:pPr>
            <w:r>
              <w:rPr>
                <w:rFonts w:hint="eastAsia" w:ascii="楷体" w:hAnsi="楷体" w:eastAsia="楷体" w:cs="宋体"/>
                <w:spacing w:val="-2"/>
                <w:sz w:val="18"/>
                <w:szCs w:val="18"/>
              </w:rPr>
              <w:t>1</w:t>
            </w:r>
            <w:r>
              <w:rPr>
                <w:rFonts w:hint="eastAsia" w:ascii="楷体" w:hAnsi="楷体" w:eastAsia="楷体" w:cs="宋体"/>
                <w:spacing w:val="-2"/>
                <w:sz w:val="18"/>
                <w:szCs w:val="18"/>
                <w:highlight w:val="none"/>
              </w:rPr>
              <w:t>.单个</w:t>
            </w:r>
            <w:r>
              <w:rPr>
                <w:rFonts w:hint="eastAsia" w:ascii="楷体" w:hAnsi="楷体" w:eastAsia="楷体" w:cs="宋体"/>
                <w:spacing w:val="-2"/>
                <w:sz w:val="18"/>
                <w:szCs w:val="18"/>
                <w:highlight w:val="none"/>
                <w:lang w:eastAsia="zh-CN"/>
              </w:rPr>
              <w:t>投资者</w:t>
            </w:r>
            <w:r>
              <w:rPr>
                <w:rFonts w:hint="eastAsia" w:ascii="楷体" w:hAnsi="楷体" w:eastAsia="楷体" w:cs="宋体"/>
                <w:spacing w:val="-2"/>
                <w:sz w:val="18"/>
                <w:szCs w:val="18"/>
                <w:highlight w:val="none"/>
              </w:rPr>
              <w:t>单笔赎回上限</w:t>
            </w:r>
            <w:r>
              <w:rPr>
                <w:rFonts w:hint="eastAsia" w:ascii="楷体" w:hAnsi="楷体" w:eastAsia="楷体" w:cs="宋体"/>
                <w:spacing w:val="-2"/>
                <w:sz w:val="18"/>
                <w:szCs w:val="18"/>
                <w:highlight w:val="none"/>
                <w:lang w:val="en-US" w:eastAsia="zh-CN"/>
              </w:rPr>
              <w:t>1</w:t>
            </w:r>
            <w:r>
              <w:rPr>
                <w:rFonts w:hint="eastAsia" w:ascii="楷体" w:hAnsi="楷体" w:eastAsia="楷体" w:cs="宋体"/>
                <w:spacing w:val="-2"/>
                <w:sz w:val="18"/>
                <w:szCs w:val="18"/>
                <w:highlight w:val="none"/>
              </w:rPr>
              <w:t>亿份。超过</w:t>
            </w:r>
            <w:r>
              <w:rPr>
                <w:rFonts w:ascii="楷体" w:hAnsi="楷体" w:eastAsia="楷体" w:cs="宋体"/>
                <w:spacing w:val="-2"/>
                <w:sz w:val="18"/>
                <w:szCs w:val="18"/>
                <w:highlight w:val="none"/>
              </w:rPr>
              <w:t>赎回</w:t>
            </w:r>
            <w:r>
              <w:rPr>
                <w:rFonts w:hint="eastAsia" w:ascii="楷体" w:hAnsi="楷体" w:eastAsia="楷体" w:cs="宋体"/>
                <w:spacing w:val="-2"/>
                <w:sz w:val="18"/>
                <w:szCs w:val="18"/>
                <w:highlight w:val="none"/>
              </w:rPr>
              <w:t>上限时，管理人有权拒绝投资者</w:t>
            </w:r>
            <w:r>
              <w:rPr>
                <w:rFonts w:ascii="楷体" w:hAnsi="楷体" w:eastAsia="楷体" w:cs="宋体"/>
                <w:spacing w:val="-2"/>
                <w:sz w:val="18"/>
                <w:szCs w:val="18"/>
                <w:highlight w:val="none"/>
              </w:rPr>
              <w:t>赎回</w:t>
            </w:r>
            <w:r>
              <w:rPr>
                <w:rFonts w:hint="eastAsia" w:ascii="楷体" w:hAnsi="楷体" w:eastAsia="楷体" w:cs="宋体"/>
                <w:spacing w:val="-2"/>
                <w:sz w:val="18"/>
                <w:szCs w:val="18"/>
                <w:highlight w:val="none"/>
              </w:rPr>
              <w:t>申请。产品存续期</w:t>
            </w:r>
            <w:r>
              <w:rPr>
                <w:rFonts w:ascii="楷体" w:hAnsi="楷体" w:eastAsia="楷体" w:cs="宋体"/>
                <w:spacing w:val="-2"/>
                <w:sz w:val="18"/>
                <w:szCs w:val="18"/>
                <w:highlight w:val="none"/>
              </w:rPr>
              <w:t>内管理人有权根据实际情况调整</w:t>
            </w:r>
            <w:r>
              <w:rPr>
                <w:rFonts w:hint="eastAsia" w:ascii="楷体" w:hAnsi="楷体" w:eastAsia="楷体" w:cs="宋体"/>
                <w:spacing w:val="-2"/>
                <w:sz w:val="18"/>
                <w:szCs w:val="18"/>
                <w:highlight w:val="none"/>
              </w:rPr>
              <w:t>单个</w:t>
            </w:r>
            <w:r>
              <w:rPr>
                <w:rFonts w:hint="eastAsia" w:ascii="楷体" w:hAnsi="楷体" w:eastAsia="楷体" w:cs="宋体"/>
                <w:spacing w:val="-2"/>
                <w:sz w:val="18"/>
                <w:szCs w:val="18"/>
                <w:highlight w:val="none"/>
                <w:lang w:eastAsia="zh-CN"/>
              </w:rPr>
              <w:t>投资者</w:t>
            </w:r>
            <w:r>
              <w:rPr>
                <w:rFonts w:hint="eastAsia" w:ascii="楷体" w:hAnsi="楷体" w:eastAsia="楷体" w:cs="宋体"/>
                <w:spacing w:val="-2"/>
                <w:sz w:val="18"/>
                <w:szCs w:val="18"/>
                <w:highlight w:val="none"/>
              </w:rPr>
              <w:t>单笔赎回上限。</w:t>
            </w:r>
          </w:p>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2.</w:t>
            </w:r>
            <w:r>
              <w:rPr>
                <w:rFonts w:hint="eastAsia" w:ascii="楷体" w:hAnsi="楷体" w:eastAsia="楷体" w:cs="宋体"/>
                <w:b/>
                <w:bCs/>
                <w:spacing w:val="-2"/>
                <w:sz w:val="18"/>
                <w:szCs w:val="18"/>
                <w:u w:val="single"/>
              </w:rPr>
              <w:t>单个产品投资者在单个开放日申请赎回份额超过本理财产品总份额10%的，管理人可以采取延期办理部分赎回申请或者延缓支付赎回款项的措施。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单个</w:t>
            </w:r>
            <w:r>
              <w:rPr>
                <w:rFonts w:hint="eastAsia" w:ascii="楷体" w:hAnsi="楷体" w:eastAsia="楷体" w:cs="宋体"/>
                <w:b/>
                <w:spacing w:val="-2"/>
                <w:sz w:val="18"/>
                <w:szCs w:val="18"/>
                <w:lang w:eastAsia="zh-CN"/>
              </w:rPr>
              <w:t>投资者</w:t>
            </w:r>
            <w:r>
              <w:rPr>
                <w:rFonts w:hint="eastAsia" w:ascii="楷体" w:hAnsi="楷体" w:eastAsia="楷体" w:cs="宋体"/>
                <w:b/>
                <w:spacing w:val="-2"/>
                <w:sz w:val="18"/>
                <w:szCs w:val="18"/>
              </w:rPr>
              <w:t>持有比例上限</w:t>
            </w:r>
          </w:p>
        </w:tc>
        <w:tc>
          <w:tcPr>
            <w:tcW w:w="7937"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单一投资者持有份额不得超过总份额50%。非因主观因素导致突破前款规定比例限制的，在单一投资者持有份额占理财产品总份额比例降至50%以下之前，不再接受该单一投资者对理财产品的购买申请。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巨额申购</w:t>
            </w:r>
          </w:p>
        </w:tc>
        <w:tc>
          <w:tcPr>
            <w:tcW w:w="7937"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Cs/>
                <w:spacing w:val="-2"/>
                <w:sz w:val="18"/>
                <w:szCs w:val="18"/>
              </w:rPr>
            </w:pPr>
            <w:r>
              <w:rPr>
                <w:rFonts w:hint="eastAsia" w:ascii="楷体" w:hAnsi="楷体" w:eastAsia="楷体" w:cs="宋体"/>
                <w:spacing w:val="-2"/>
                <w:sz w:val="18"/>
                <w:szCs w:val="18"/>
              </w:rPr>
              <w:t>本产品单个开放日投资者净申购额（申购申请份额总数扣除赎回申请份额总数）超过上一日日终份额20%时，即认为发生了巨额申购。</w:t>
            </w:r>
            <w:r>
              <w:rPr>
                <w:rFonts w:hint="eastAsia" w:ascii="楷体" w:hAnsi="楷体" w:eastAsia="楷体" w:cs="宋体"/>
                <w:b/>
                <w:bCs/>
                <w:spacing w:val="-2"/>
                <w:sz w:val="18"/>
                <w:szCs w:val="18"/>
                <w:u w:val="single"/>
              </w:rPr>
              <w:t>当出现巨额申购时，管理人有权拒绝投资者的全部或部分申购申请。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巨额赎回</w:t>
            </w:r>
          </w:p>
        </w:tc>
        <w:tc>
          <w:tcPr>
            <w:tcW w:w="7937" w:type="dxa"/>
            <w:vAlign w:val="center"/>
          </w:tcPr>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hint="eastAsia" w:ascii="楷体" w:hAnsi="楷体" w:eastAsia="楷体" w:cs="宋体"/>
                <w:b/>
                <w:bCs/>
                <w:spacing w:val="-2"/>
                <w:sz w:val="18"/>
                <w:szCs w:val="18"/>
                <w:u w:val="single"/>
              </w:rPr>
            </w:pPr>
            <w:r>
              <w:rPr>
                <w:rFonts w:hint="eastAsia" w:ascii="楷体" w:hAnsi="楷体" w:eastAsia="楷体" w:cs="宋体"/>
                <w:b/>
                <w:bCs/>
                <w:spacing w:val="-2"/>
                <w:sz w:val="18"/>
                <w:szCs w:val="18"/>
                <w:u w:val="single"/>
              </w:rPr>
              <w:t>本产品</w:t>
            </w:r>
            <w:r>
              <w:rPr>
                <w:rFonts w:hint="eastAsia" w:ascii="楷体" w:hAnsi="楷体" w:eastAsia="楷体" w:cs="宋体"/>
                <w:b/>
                <w:bCs/>
                <w:spacing w:val="-2"/>
                <w:sz w:val="18"/>
                <w:szCs w:val="18"/>
                <w:u w:val="single"/>
                <w:lang w:val="en-US" w:eastAsia="zh-CN"/>
              </w:rPr>
              <w:t>单</w:t>
            </w:r>
            <w:r>
              <w:rPr>
                <w:rFonts w:hint="eastAsia" w:ascii="楷体" w:hAnsi="楷体" w:eastAsia="楷体" w:cs="宋体"/>
                <w:b/>
                <w:bCs/>
                <w:spacing w:val="-2"/>
                <w:sz w:val="18"/>
                <w:szCs w:val="18"/>
                <w:u w:val="single"/>
              </w:rPr>
              <w:t>个开放日投资者净赎回额（赎回申请份额总数扣除申购申请份额总数）超过</w:t>
            </w:r>
            <w:r>
              <w:rPr>
                <w:rFonts w:hint="eastAsia" w:ascii="楷体" w:hAnsi="楷体" w:eastAsia="楷体" w:cs="宋体"/>
                <w:b/>
                <w:bCs/>
                <w:spacing w:val="-2"/>
                <w:sz w:val="18"/>
                <w:szCs w:val="18"/>
                <w:highlight w:val="none"/>
                <w:u w:val="single"/>
              </w:rPr>
              <w:t>上一日</w:t>
            </w:r>
            <w:r>
              <w:rPr>
                <w:rFonts w:hint="eastAsia" w:ascii="楷体" w:hAnsi="楷体" w:eastAsia="楷体" w:cs="宋体"/>
                <w:b/>
                <w:bCs/>
                <w:spacing w:val="-2"/>
                <w:sz w:val="18"/>
                <w:szCs w:val="18"/>
                <w:highlight w:val="none"/>
                <w:u w:val="single"/>
                <w:lang w:val="en-US" w:eastAsia="zh-CN"/>
              </w:rPr>
              <w:t>日终</w:t>
            </w:r>
            <w:r>
              <w:rPr>
                <w:rFonts w:hint="eastAsia" w:ascii="楷体" w:hAnsi="楷体" w:eastAsia="楷体" w:cs="宋体"/>
                <w:b/>
                <w:bCs/>
                <w:spacing w:val="-2"/>
                <w:sz w:val="18"/>
                <w:szCs w:val="18"/>
                <w:highlight w:val="none"/>
                <w:u w:val="single"/>
              </w:rPr>
              <w:t>份额10%时，即</w:t>
            </w:r>
            <w:r>
              <w:rPr>
                <w:rFonts w:hint="eastAsia" w:ascii="楷体" w:hAnsi="楷体" w:eastAsia="楷体" w:cs="宋体"/>
                <w:b/>
                <w:bCs/>
                <w:spacing w:val="-2"/>
                <w:sz w:val="18"/>
                <w:szCs w:val="18"/>
                <w:highlight w:val="none"/>
                <w:u w:val="single"/>
                <w:lang w:val="en-US" w:eastAsia="zh-CN"/>
              </w:rPr>
              <w:t>认</w:t>
            </w:r>
            <w:r>
              <w:rPr>
                <w:rFonts w:hint="eastAsia" w:ascii="楷体" w:hAnsi="楷体" w:eastAsia="楷体" w:cs="宋体"/>
                <w:b/>
                <w:bCs/>
                <w:spacing w:val="-2"/>
                <w:sz w:val="18"/>
                <w:szCs w:val="18"/>
                <w:highlight w:val="none"/>
                <w:u w:val="single"/>
              </w:rPr>
              <w:t>为发生</w:t>
            </w:r>
            <w:r>
              <w:rPr>
                <w:rFonts w:hint="eastAsia" w:ascii="楷体" w:hAnsi="楷体" w:eastAsia="楷体" w:cs="宋体"/>
                <w:b/>
                <w:bCs/>
                <w:spacing w:val="-2"/>
                <w:sz w:val="18"/>
                <w:szCs w:val="18"/>
                <w:highlight w:val="none"/>
                <w:u w:val="single"/>
                <w:lang w:val="en-US" w:eastAsia="zh-CN"/>
              </w:rPr>
              <w:t>了</w:t>
            </w:r>
            <w:r>
              <w:rPr>
                <w:rFonts w:hint="eastAsia" w:ascii="楷体" w:hAnsi="楷体" w:eastAsia="楷体" w:cs="宋体"/>
                <w:b/>
                <w:bCs/>
                <w:spacing w:val="-2"/>
                <w:sz w:val="18"/>
                <w:szCs w:val="18"/>
                <w:highlight w:val="none"/>
                <w:u w:val="single"/>
              </w:rPr>
              <w:t>巨额赎回。管理人可以根据本产品当时的资产组合状况决定采取全额赎回、部分赎回、</w:t>
            </w:r>
            <w:r>
              <w:rPr>
                <w:rFonts w:ascii="楷体" w:hAnsi="楷体" w:eastAsia="楷体" w:cs="宋体"/>
                <w:b/>
                <w:bCs/>
                <w:spacing w:val="-2"/>
                <w:sz w:val="18"/>
                <w:szCs w:val="18"/>
                <w:highlight w:val="none"/>
                <w:u w:val="single"/>
              </w:rPr>
              <w:t>延期</w:t>
            </w:r>
            <w:r>
              <w:rPr>
                <w:rFonts w:hint="eastAsia" w:ascii="楷体" w:hAnsi="楷体" w:eastAsia="楷体" w:cs="宋体"/>
                <w:b/>
                <w:bCs/>
                <w:spacing w:val="-2"/>
                <w:sz w:val="18"/>
                <w:szCs w:val="18"/>
                <w:highlight w:val="none"/>
                <w:u w:val="single"/>
              </w:rPr>
              <w:t>办理</w:t>
            </w:r>
            <w:r>
              <w:rPr>
                <w:rFonts w:ascii="楷体" w:hAnsi="楷体" w:eastAsia="楷体" w:cs="宋体"/>
                <w:b/>
                <w:bCs/>
                <w:spacing w:val="-2"/>
                <w:sz w:val="18"/>
                <w:szCs w:val="18"/>
                <w:highlight w:val="none"/>
                <w:u w:val="single"/>
              </w:rPr>
              <w:t>巨额赎回</w:t>
            </w:r>
            <w:r>
              <w:rPr>
                <w:rFonts w:hint="eastAsia" w:ascii="楷体" w:hAnsi="楷体" w:eastAsia="楷体" w:cs="宋体"/>
                <w:b/>
                <w:bCs/>
                <w:spacing w:val="-2"/>
                <w:sz w:val="18"/>
                <w:szCs w:val="18"/>
                <w:highlight w:val="none"/>
                <w:u w:val="single"/>
              </w:rPr>
              <w:t>等</w:t>
            </w:r>
            <w:r>
              <w:rPr>
                <w:rFonts w:ascii="楷体" w:hAnsi="楷体" w:eastAsia="楷体" w:cs="宋体"/>
                <w:b/>
                <w:bCs/>
                <w:spacing w:val="-2"/>
                <w:sz w:val="18"/>
                <w:szCs w:val="18"/>
                <w:highlight w:val="none"/>
                <w:u w:val="single"/>
              </w:rPr>
              <w:t>措施</w:t>
            </w:r>
            <w:r>
              <w:rPr>
                <w:rFonts w:hint="eastAsia" w:ascii="楷体" w:hAnsi="楷体" w:eastAsia="楷体" w:cs="宋体"/>
                <w:b/>
                <w:bCs/>
                <w:spacing w:val="-2"/>
                <w:sz w:val="18"/>
                <w:szCs w:val="18"/>
                <w:highlight w:val="none"/>
                <w:u w:val="single"/>
              </w:rPr>
              <w:t>，管理人将在采取</w:t>
            </w:r>
            <w:r>
              <w:rPr>
                <w:rFonts w:ascii="楷体" w:hAnsi="楷体" w:eastAsia="楷体" w:cs="宋体"/>
                <w:b/>
                <w:bCs/>
                <w:spacing w:val="-2"/>
                <w:sz w:val="18"/>
                <w:szCs w:val="18"/>
                <w:highlight w:val="none"/>
                <w:u w:val="single"/>
              </w:rPr>
              <w:t>相关</w:t>
            </w:r>
            <w:r>
              <w:rPr>
                <w:rFonts w:hint="eastAsia" w:ascii="楷体" w:hAnsi="楷体" w:eastAsia="楷体" w:cs="宋体"/>
                <w:b/>
                <w:bCs/>
                <w:spacing w:val="-2"/>
                <w:sz w:val="18"/>
                <w:szCs w:val="18"/>
                <w:highlight w:val="none"/>
                <w:u w:val="single"/>
              </w:rPr>
              <w:t>措施后3个工作日内进行信息披露。</w:t>
            </w:r>
          </w:p>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ascii="楷体" w:hAnsi="楷体" w:eastAsia="楷体" w:cs="宋体"/>
                <w:b w:val="0"/>
                <w:bCs/>
                <w:spacing w:val="-2"/>
                <w:sz w:val="18"/>
                <w:szCs w:val="18"/>
                <w:u w:val="none"/>
              </w:rPr>
            </w:pPr>
            <w:r>
              <w:rPr>
                <w:rFonts w:hint="eastAsia" w:ascii="楷体" w:hAnsi="楷体" w:eastAsia="楷体" w:cs="宋体"/>
                <w:b w:val="0"/>
                <w:bCs/>
                <w:spacing w:val="-2"/>
                <w:sz w:val="18"/>
                <w:szCs w:val="18"/>
                <w:u w:val="none"/>
              </w:rPr>
              <w:t>1.全额赎回：当管理人有能力兑付投资者的全部赎回申请时，将在申请确认日按投资者申请赎回份额执行正常赎回程序。</w:t>
            </w:r>
          </w:p>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ascii="楷体" w:hAnsi="楷体" w:eastAsia="楷体" w:cs="宋体"/>
                <w:b w:val="0"/>
                <w:bCs/>
                <w:spacing w:val="-2"/>
                <w:sz w:val="18"/>
                <w:szCs w:val="18"/>
                <w:u w:val="none"/>
              </w:rPr>
            </w:pPr>
            <w:r>
              <w:rPr>
                <w:rFonts w:hint="eastAsia" w:ascii="楷体" w:hAnsi="楷体" w:eastAsia="楷体" w:cs="宋体"/>
                <w:b w:val="0"/>
                <w:bCs/>
                <w:spacing w:val="-2"/>
                <w:sz w:val="18"/>
                <w:szCs w:val="18"/>
                <w:u w:val="none"/>
              </w:rPr>
              <w:t>2.部分赎回</w:t>
            </w:r>
            <w:r>
              <w:rPr>
                <w:rFonts w:ascii="楷体" w:hAnsi="楷体" w:eastAsia="楷体" w:cs="宋体"/>
                <w:b w:val="0"/>
                <w:bCs/>
                <w:spacing w:val="-2"/>
                <w:sz w:val="18"/>
                <w:szCs w:val="18"/>
                <w:u w:val="none"/>
              </w:rPr>
              <w:t>：</w:t>
            </w:r>
            <w:r>
              <w:rPr>
                <w:rFonts w:hint="eastAsia" w:ascii="楷体" w:hAnsi="楷体" w:eastAsia="楷体" w:cs="宋体"/>
                <w:b w:val="0"/>
                <w:bCs/>
                <w:spacing w:val="-2"/>
                <w:sz w:val="18"/>
                <w:szCs w:val="18"/>
                <w:u w:val="none"/>
              </w:rPr>
              <w:t>当管理人认为兑付投资者的赎回申请可能会对产品的资产净值造成较大波动时，当日办理的赎回份额不得低于前一</w:t>
            </w:r>
            <w:r>
              <w:rPr>
                <w:rFonts w:hint="eastAsia" w:ascii="楷体" w:hAnsi="楷体" w:eastAsia="楷体" w:cs="宋体"/>
                <w:b w:val="0"/>
                <w:bCs/>
                <w:spacing w:val="-2"/>
                <w:sz w:val="18"/>
                <w:szCs w:val="18"/>
                <w:u w:val="none"/>
                <w:lang w:val="en-US" w:eastAsia="zh-CN"/>
              </w:rPr>
              <w:t>日</w:t>
            </w:r>
            <w:r>
              <w:rPr>
                <w:rFonts w:hint="eastAsia" w:ascii="楷体" w:hAnsi="楷体" w:eastAsia="楷体" w:cs="宋体"/>
                <w:b w:val="0"/>
                <w:bCs/>
                <w:spacing w:val="-2"/>
                <w:sz w:val="18"/>
                <w:szCs w:val="18"/>
                <w:u w:val="none"/>
              </w:rPr>
              <w:t>日终理财产品总份额的10%，对其余赎回申请管理人有权暂停接受或延期办理。对该产品单个</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u w:val="none"/>
              </w:rPr>
              <w:t>的赎回申请，按照其申请占当日申请赎回总份额的比例，确定该</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u w:val="none"/>
              </w:rPr>
              <w:t>当日办理的赎回份额。</w:t>
            </w:r>
            <w:r>
              <w:rPr>
                <w:rFonts w:hint="eastAsia" w:ascii="楷体" w:hAnsi="楷体" w:eastAsia="楷体" w:cs="宋体"/>
                <w:b w:val="0"/>
                <w:bCs/>
                <w:spacing w:val="-2"/>
                <w:sz w:val="18"/>
                <w:szCs w:val="18"/>
                <w:highlight w:val="none"/>
                <w:u w:val="none"/>
                <w:lang w:eastAsia="zh-CN"/>
              </w:rPr>
              <w:t>（</w:t>
            </w:r>
            <w:r>
              <w:rPr>
                <w:rFonts w:hint="eastAsia" w:ascii="楷体" w:hAnsi="楷体" w:eastAsia="楷体" w:cs="宋体"/>
                <w:b w:val="0"/>
                <w:bCs/>
                <w:spacing w:val="-2"/>
                <w:sz w:val="18"/>
                <w:szCs w:val="18"/>
                <w:highlight w:val="none"/>
                <w:u w:val="none"/>
                <w:lang w:val="en-US" w:eastAsia="zh-CN"/>
              </w:rPr>
              <w:t>示例：某</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highlight w:val="none"/>
                <w:u w:val="none"/>
                <w:lang w:val="en-US" w:eastAsia="zh-CN"/>
              </w:rPr>
              <w:t>当日申请赎回份额5万份，当日全部赎回申请10000万份，假设前一日日终总份额50000万份，发生巨额赎回，管理人当日办理的赎回份额5000万份，则该</w:t>
            </w:r>
            <w:r>
              <w:rPr>
                <w:rFonts w:hint="eastAsia" w:ascii="楷体" w:hAnsi="楷体" w:eastAsia="楷体" w:cs="宋体"/>
                <w:spacing w:val="-2"/>
                <w:sz w:val="18"/>
                <w:szCs w:val="18"/>
                <w:lang w:val="en-US" w:eastAsia="zh-CN"/>
              </w:rPr>
              <w:t>投资者</w:t>
            </w:r>
            <w:r>
              <w:rPr>
                <w:rFonts w:hint="eastAsia" w:ascii="楷体" w:hAnsi="楷体" w:eastAsia="楷体" w:cs="宋体"/>
                <w:b w:val="0"/>
                <w:bCs/>
                <w:spacing w:val="-2"/>
                <w:sz w:val="18"/>
                <w:szCs w:val="18"/>
                <w:highlight w:val="none"/>
                <w:u w:val="none"/>
                <w:lang w:val="en-US" w:eastAsia="zh-CN"/>
              </w:rPr>
              <w:t>当日确认办理的份额为5/10000*5000=2.5万份</w:t>
            </w:r>
            <w:r>
              <w:rPr>
                <w:rFonts w:hint="eastAsia" w:ascii="楷体" w:hAnsi="楷体" w:eastAsia="楷体" w:cs="宋体"/>
                <w:b w:val="0"/>
                <w:bCs/>
                <w:spacing w:val="-2"/>
                <w:sz w:val="18"/>
                <w:szCs w:val="18"/>
                <w:highlight w:val="none"/>
                <w:u w:val="none"/>
              </w:rPr>
              <w:t>。</w:t>
            </w:r>
            <w:r>
              <w:rPr>
                <w:rFonts w:hint="eastAsia" w:ascii="楷体" w:hAnsi="楷体" w:eastAsia="楷体" w:cs="宋体"/>
                <w:b w:val="0"/>
                <w:bCs/>
                <w:spacing w:val="-2"/>
                <w:sz w:val="18"/>
                <w:szCs w:val="18"/>
                <w:highlight w:val="none"/>
                <w:u w:val="none"/>
                <w:lang w:val="en-US" w:eastAsia="zh-CN"/>
              </w:rPr>
              <w:t>）</w:t>
            </w:r>
          </w:p>
          <w:p>
            <w:pPr>
              <w:keepNext w:val="0"/>
              <w:keepLines w:val="0"/>
              <w:pageBreakBefore w:val="0"/>
              <w:widowControl w:val="0"/>
              <w:wordWrap/>
              <w:topLinePunct w:val="0"/>
              <w:autoSpaceDE/>
              <w:autoSpaceDN/>
              <w:bidi w:val="0"/>
              <w:snapToGrid w:val="0"/>
              <w:spacing w:line="240" w:lineRule="auto"/>
              <w:ind w:left="21" w:leftChars="10" w:right="21" w:rightChars="10"/>
              <w:jc w:val="both"/>
              <w:textAlignment w:val="auto"/>
              <w:rPr>
                <w:rFonts w:hint="eastAsia" w:ascii="楷体" w:hAnsi="楷体" w:eastAsia="楷体" w:cs="宋体"/>
                <w:b w:val="0"/>
                <w:bCs/>
                <w:spacing w:val="-2"/>
                <w:sz w:val="18"/>
                <w:szCs w:val="18"/>
                <w:u w:val="none"/>
              </w:rPr>
            </w:pPr>
            <w:r>
              <w:rPr>
                <w:rFonts w:hint="eastAsia" w:ascii="楷体" w:hAnsi="楷体" w:eastAsia="楷体" w:cs="宋体"/>
                <w:b w:val="0"/>
                <w:bCs/>
                <w:spacing w:val="-2"/>
                <w:sz w:val="18"/>
                <w:szCs w:val="18"/>
                <w:u w:val="none"/>
              </w:rPr>
              <w:t>若管理人对于超过10%以上部分的赎回申请选择延期办理，对于未能赎回部分，投资者可选择将当日未获办理的赎回申请予以撤销。投资者未选择撤销的，管理人有权延期至下一个开放日办理，延期至下一个开放日办理的赎回价格为下一个开放日的价格，顺延至下一开放日的赎回申请不享有优先确认权。</w:t>
            </w:r>
          </w:p>
          <w:p>
            <w:pPr>
              <w:keepNext w:val="0"/>
              <w:keepLines w:val="0"/>
              <w:pageBreakBefore w:val="0"/>
              <w:wordWrap/>
              <w:topLinePunct w:val="0"/>
              <w:autoSpaceDE/>
              <w:autoSpaceDN/>
              <w:bidi w:val="0"/>
              <w:snapToGrid w:val="0"/>
              <w:ind w:left="21" w:leftChars="10" w:right="21" w:rightChars="10"/>
              <w:textAlignment w:val="auto"/>
            </w:pPr>
            <w:r>
              <w:rPr>
                <w:rFonts w:hint="eastAsia" w:ascii="楷体" w:hAnsi="楷体" w:eastAsia="楷体" w:cs="宋体"/>
                <w:b w:val="0"/>
                <w:bCs/>
                <w:spacing w:val="-2"/>
                <w:sz w:val="18"/>
                <w:szCs w:val="18"/>
                <w:u w:val="none"/>
              </w:rPr>
              <w:t>3.延缓支付赎回款项：连续2个以上开放日发生巨额赎回的，管理人除有权选择全额赎回或部分赎回等措施外，对于已经接受的赎回申请，管理人可以延缓支付赎回款项，但延缓期限不得超过20个工作日。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快速赎回</w:t>
            </w:r>
          </w:p>
        </w:tc>
        <w:tc>
          <w:tcPr>
            <w:tcW w:w="7937" w:type="dxa"/>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b/>
                <w:bCs/>
                <w:spacing w:val="-2"/>
                <w:sz w:val="18"/>
                <w:szCs w:val="18"/>
                <w:u w:val="single"/>
              </w:rPr>
              <w:t>本产品销售机构可为投资者提供</w:t>
            </w:r>
            <w:r>
              <w:rPr>
                <w:rFonts w:ascii="楷体" w:hAnsi="楷体" w:eastAsia="楷体" w:cs="宋体"/>
                <w:b/>
                <w:bCs/>
                <w:spacing w:val="-2"/>
                <w:sz w:val="18"/>
                <w:szCs w:val="18"/>
                <w:u w:val="single"/>
              </w:rPr>
              <w:t>“快速赎回”增值服务，</w:t>
            </w:r>
            <w:r>
              <w:rPr>
                <w:rFonts w:hint="eastAsia" w:ascii="楷体" w:hAnsi="楷体" w:eastAsia="楷体" w:cs="宋体"/>
                <w:b/>
                <w:bCs/>
                <w:spacing w:val="-2"/>
                <w:sz w:val="18"/>
                <w:szCs w:val="18"/>
                <w:u w:val="single"/>
                <w:lang w:eastAsia="zh-CN"/>
              </w:rPr>
              <w:t>投资者</w:t>
            </w:r>
            <w:r>
              <w:rPr>
                <w:rFonts w:ascii="楷体" w:hAnsi="楷体" w:eastAsia="楷体" w:cs="宋体"/>
                <w:b/>
                <w:bCs/>
                <w:spacing w:val="-2"/>
                <w:sz w:val="18"/>
                <w:szCs w:val="18"/>
                <w:u w:val="single"/>
              </w:rPr>
              <w:t>可通过</w:t>
            </w:r>
            <w:r>
              <w:rPr>
                <w:rFonts w:hint="eastAsia" w:ascii="楷体" w:hAnsi="楷体" w:eastAsia="楷体" w:cs="宋体"/>
                <w:b/>
                <w:bCs/>
                <w:spacing w:val="-2"/>
                <w:sz w:val="18"/>
                <w:szCs w:val="18"/>
                <w:u w:val="single"/>
              </w:rPr>
              <w:t>销售机构</w:t>
            </w:r>
            <w:r>
              <w:rPr>
                <w:rFonts w:ascii="楷体" w:hAnsi="楷体" w:eastAsia="楷体" w:cs="宋体"/>
                <w:b/>
                <w:bCs/>
                <w:spacing w:val="-2"/>
                <w:sz w:val="18"/>
                <w:szCs w:val="18"/>
                <w:u w:val="single"/>
              </w:rPr>
              <w:t>渠道进行快速赎回，如无特殊情况，</w:t>
            </w:r>
            <w:r>
              <w:rPr>
                <w:rFonts w:hint="eastAsia" w:ascii="楷体" w:hAnsi="楷体" w:eastAsia="楷体" w:cs="宋体"/>
                <w:b/>
                <w:bCs/>
                <w:spacing w:val="-2"/>
                <w:sz w:val="18"/>
                <w:szCs w:val="18"/>
                <w:u w:val="single"/>
              </w:rPr>
              <w:t>快速</w:t>
            </w:r>
            <w:r>
              <w:rPr>
                <w:rFonts w:ascii="楷体" w:hAnsi="楷体" w:eastAsia="楷体" w:cs="宋体"/>
                <w:b/>
                <w:bCs/>
                <w:spacing w:val="-2"/>
                <w:sz w:val="18"/>
                <w:szCs w:val="18"/>
                <w:u w:val="single"/>
              </w:rPr>
              <w:t>赎回资金将于赎回申请日当日到账。</w:t>
            </w:r>
            <w:r>
              <w:rPr>
                <w:rFonts w:hint="eastAsia" w:ascii="楷体" w:hAnsi="楷体" w:eastAsia="楷体" w:cs="宋体"/>
                <w:bCs/>
                <w:spacing w:val="-2"/>
                <w:sz w:val="18"/>
                <w:szCs w:val="18"/>
              </w:rPr>
              <w:t>“快速赎回”为本理财产品的增值服务，具体业务处理原则以销售机构的快速赎回服务协议约定为准。管理人将根据快速赎回服务协议的约定，履行份额快速过户及理财份额收益划付等职责。</w:t>
            </w:r>
            <w:r>
              <w:rPr>
                <w:rFonts w:hint="eastAsia" w:ascii="楷体" w:hAnsi="楷体" w:eastAsia="楷体" w:cs="宋体"/>
                <w:b/>
                <w:bCs/>
                <w:spacing w:val="-2"/>
                <w:sz w:val="18"/>
                <w:szCs w:val="18"/>
                <w:u w:val="single"/>
              </w:rPr>
              <w:t>每只产品每个自然日单个销售渠道为</w:t>
            </w:r>
            <w:r>
              <w:rPr>
                <w:rFonts w:hint="eastAsia" w:ascii="楷体" w:hAnsi="楷体" w:eastAsia="楷体" w:cs="宋体"/>
                <w:b/>
                <w:bCs/>
                <w:spacing w:val="-2"/>
                <w:sz w:val="18"/>
                <w:szCs w:val="18"/>
                <w:u w:val="single"/>
                <w:lang w:eastAsia="zh-CN"/>
              </w:rPr>
              <w:t>投资者</w:t>
            </w:r>
            <w:r>
              <w:rPr>
                <w:rFonts w:hint="eastAsia" w:ascii="楷体" w:hAnsi="楷体" w:eastAsia="楷体" w:cs="宋体"/>
                <w:b/>
                <w:bCs/>
                <w:spacing w:val="-2"/>
                <w:sz w:val="18"/>
                <w:szCs w:val="18"/>
                <w:u w:val="single"/>
              </w:rPr>
              <w:t>提供的</w:t>
            </w:r>
            <w:r>
              <w:rPr>
                <w:rFonts w:ascii="楷体" w:hAnsi="楷体" w:eastAsia="楷体" w:cs="宋体"/>
                <w:b/>
                <w:bCs/>
                <w:spacing w:val="-2"/>
                <w:sz w:val="18"/>
                <w:szCs w:val="18"/>
                <w:u w:val="single"/>
              </w:rPr>
              <w:t>“快速赎回”</w:t>
            </w:r>
            <w:r>
              <w:rPr>
                <w:rFonts w:hint="eastAsia" w:ascii="楷体" w:hAnsi="楷体" w:eastAsia="楷体" w:cs="宋体"/>
                <w:b/>
                <w:bCs/>
                <w:spacing w:val="-2"/>
                <w:sz w:val="18"/>
                <w:szCs w:val="18"/>
                <w:u w:val="single"/>
              </w:rPr>
              <w:t>限额为</w:t>
            </w:r>
            <w:r>
              <w:rPr>
                <w:rFonts w:ascii="楷体" w:hAnsi="楷体" w:eastAsia="楷体" w:cs="宋体"/>
                <w:b/>
                <w:bCs/>
                <w:spacing w:val="-2"/>
                <w:sz w:val="18"/>
                <w:szCs w:val="18"/>
                <w:u w:val="single"/>
              </w:rPr>
              <w:t>1万元</w:t>
            </w:r>
            <w:r>
              <w:rPr>
                <w:rFonts w:hint="eastAsia" w:ascii="楷体" w:hAnsi="楷体" w:eastAsia="楷体" w:cs="宋体"/>
                <w:b/>
                <w:bCs/>
                <w:spacing w:val="-2"/>
                <w:sz w:val="18"/>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业绩比较基准</w:t>
            </w:r>
          </w:p>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（年化）</w:t>
            </w:r>
          </w:p>
        </w:tc>
        <w:tc>
          <w:tcPr>
            <w:tcW w:w="7937" w:type="dxa"/>
            <w:vAlign w:val="center"/>
          </w:tcPr>
          <w:p>
            <w:pPr>
              <w:pStyle w:val="36"/>
              <w:keepNext w:val="0"/>
              <w:keepLines w:val="0"/>
              <w:pageBreakBefore w:val="0"/>
              <w:wordWrap/>
              <w:topLinePunct w:val="0"/>
              <w:autoSpaceDE/>
              <w:autoSpaceDN/>
              <w:bidi w:val="0"/>
              <w:snapToGrid w:val="0"/>
              <w:spacing w:before="0" w:line="240" w:lineRule="auto"/>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中国人民银行公布的7天通知存款利率</w:t>
            </w:r>
          </w:p>
          <w:p>
            <w:pPr>
              <w:pStyle w:val="36"/>
              <w:keepNext w:val="0"/>
              <w:keepLines w:val="0"/>
              <w:pageBreakBefore w:val="0"/>
              <w:wordWrap/>
              <w:topLinePunct w:val="0"/>
              <w:autoSpaceDE/>
              <w:autoSpaceDN/>
              <w:bidi w:val="0"/>
              <w:snapToGrid w:val="0"/>
              <w:spacing w:before="0" w:line="240" w:lineRule="auto"/>
              <w:ind w:left="21" w:leftChars="10" w:right="21" w:rightChars="10"/>
              <w:jc w:val="both"/>
              <w:textAlignment w:val="auto"/>
              <w:rPr>
                <w:rFonts w:hint="eastAsia" w:ascii="楷体" w:hAnsi="楷体" w:eastAsia="楷体" w:cs="宋体"/>
                <w:spacing w:val="-2"/>
                <w:sz w:val="18"/>
                <w:szCs w:val="18"/>
              </w:rPr>
            </w:pPr>
            <w:r>
              <w:rPr>
                <w:rFonts w:hint="eastAsia" w:ascii="楷体" w:hAnsi="楷体" w:eastAsia="楷体" w:cs="宋体"/>
                <w:spacing w:val="-2"/>
                <w:sz w:val="18"/>
                <w:szCs w:val="18"/>
                <w:lang w:val="en-US" w:eastAsia="zh-CN"/>
              </w:rPr>
              <w:t>1.</w:t>
            </w:r>
            <w:r>
              <w:rPr>
                <w:rFonts w:hint="eastAsia" w:ascii="楷体" w:hAnsi="楷体" w:eastAsia="楷体" w:cs="宋体"/>
                <w:spacing w:val="-2"/>
                <w:sz w:val="18"/>
                <w:szCs w:val="18"/>
              </w:rPr>
              <w:t>管理人</w:t>
            </w:r>
            <w:r>
              <w:rPr>
                <w:rFonts w:ascii="楷体" w:hAnsi="楷体" w:eastAsia="楷体" w:cs="宋体"/>
                <w:spacing w:val="-2"/>
                <w:sz w:val="18"/>
                <w:szCs w:val="18"/>
              </w:rPr>
              <w:t>参考过往投资经验，依据近期货币市场工具、债券等资产</w:t>
            </w:r>
            <w:r>
              <w:rPr>
                <w:rFonts w:hint="eastAsia" w:ascii="楷体" w:hAnsi="楷体" w:eastAsia="楷体" w:cs="宋体"/>
                <w:spacing w:val="-2"/>
                <w:sz w:val="18"/>
                <w:szCs w:val="18"/>
              </w:rPr>
              <w:t>投资</w:t>
            </w:r>
            <w:r>
              <w:rPr>
                <w:rFonts w:ascii="楷体" w:hAnsi="楷体" w:eastAsia="楷体" w:cs="宋体"/>
                <w:spacing w:val="-2"/>
                <w:sz w:val="18"/>
                <w:szCs w:val="18"/>
              </w:rPr>
              <w:t>收益水平，在产品说明书约定的投资范围和投资比例内模拟测算得出</w:t>
            </w:r>
            <w:r>
              <w:rPr>
                <w:rFonts w:hint="eastAsia" w:ascii="楷体" w:hAnsi="楷体" w:eastAsia="楷体" w:cs="宋体"/>
                <w:spacing w:val="-2"/>
                <w:sz w:val="18"/>
                <w:szCs w:val="18"/>
                <w:lang w:val="en-US" w:eastAsia="zh-CN"/>
              </w:rPr>
              <w:t>业绩比较基准</w:t>
            </w:r>
            <w:r>
              <w:rPr>
                <w:rFonts w:hint="eastAsia" w:ascii="楷体" w:hAnsi="楷体" w:eastAsia="楷体" w:cs="宋体"/>
                <w:spacing w:val="-2"/>
                <w:sz w:val="18"/>
                <w:szCs w:val="18"/>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b/>
                <w:spacing w:val="-2"/>
                <w:kern w:val="0"/>
                <w:sz w:val="18"/>
                <w:szCs w:val="18"/>
                <w:u w:val="single"/>
              </w:rPr>
            </w:pPr>
            <w:r>
              <w:rPr>
                <w:rFonts w:hint="eastAsia" w:ascii="楷体" w:hAnsi="楷体" w:eastAsia="楷体" w:cs="宋体"/>
                <w:b/>
                <w:bCs/>
                <w:spacing w:val="-2"/>
                <w:sz w:val="18"/>
                <w:szCs w:val="18"/>
                <w:u w:val="single"/>
                <w:lang w:eastAsia="zh-CN"/>
              </w:rPr>
              <w:t>2</w:t>
            </w:r>
            <w:r>
              <w:rPr>
                <w:rFonts w:hint="eastAsia" w:ascii="楷体" w:hAnsi="楷体" w:eastAsia="楷体" w:cs="宋体"/>
                <w:b/>
                <w:bCs/>
                <w:spacing w:val="-2"/>
                <w:sz w:val="18"/>
                <w:szCs w:val="18"/>
                <w:u w:val="single"/>
              </w:rPr>
              <w:t>.本产品为净值型产品，业绩表现将随市场波动，具有不确定性。业绩比较基准是管理人基于产品性质、投资策略、过往经验等因素对产品设定的投资目标。业绩比较基准不是预期收益率，不代表产品的未来表现和实际收益，不构成对产品收益的承诺。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spacing w:val="-2"/>
                <w:sz w:val="18"/>
                <w:szCs w:val="18"/>
                <w:highlight w:val="none"/>
              </w:rPr>
            </w:pPr>
            <w:r>
              <w:rPr>
                <w:rFonts w:hint="eastAsia" w:ascii="楷体" w:hAnsi="楷体" w:eastAsia="楷体" w:cs="宋体"/>
                <w:b/>
                <w:spacing w:val="-2"/>
                <w:sz w:val="18"/>
                <w:szCs w:val="18"/>
                <w:highlight w:val="none"/>
              </w:rPr>
              <w:t>产品费用</w:t>
            </w:r>
          </w:p>
        </w:tc>
        <w:tc>
          <w:tcPr>
            <w:tcW w:w="7937" w:type="dxa"/>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本产品费用包括托管费、销售服务费、投资管理费以及产品运作和清算中产生的其他费用等。</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1.托管费率（年化）：</w:t>
            </w:r>
            <w:r>
              <w:rPr>
                <w:rFonts w:hint="eastAsia" w:ascii="楷体" w:hAnsi="楷体" w:eastAsia="楷体" w:cs="宋体"/>
                <w:spacing w:val="-2"/>
                <w:sz w:val="18"/>
                <w:szCs w:val="18"/>
                <w:highlight w:val="none"/>
                <w:lang w:val="en-US" w:eastAsia="zh-CN"/>
              </w:rPr>
              <w:t>0.02</w:t>
            </w:r>
            <w:r>
              <w:rPr>
                <w:rFonts w:hint="eastAsia" w:ascii="楷体" w:hAnsi="楷体" w:eastAsia="楷体" w:cs="宋体"/>
                <w:spacing w:val="-2"/>
                <w:sz w:val="18"/>
                <w:szCs w:val="18"/>
                <w:highlight w:val="none"/>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2.销售服务费率（年化）：A/F/G/H/I/J/JS/K/M/N/</w:t>
            </w:r>
            <w:r>
              <w:rPr>
                <w:rFonts w:hint="eastAsia" w:ascii="楷体" w:hAnsi="楷体" w:eastAsia="楷体" w:cs="宋体"/>
                <w:spacing w:val="-2"/>
                <w:sz w:val="18"/>
                <w:szCs w:val="18"/>
                <w:highlight w:val="none"/>
                <w:lang w:val="en-US" w:eastAsia="zh-CN"/>
              </w:rPr>
              <w:t>P/DG/</w:t>
            </w:r>
            <w:r>
              <w:rPr>
                <w:rFonts w:hint="eastAsia" w:ascii="楷体" w:hAnsi="楷体" w:eastAsia="楷体" w:cs="宋体"/>
                <w:spacing w:val="-2"/>
                <w:sz w:val="18"/>
                <w:szCs w:val="18"/>
                <w:highlight w:val="none"/>
              </w:rPr>
              <w:t>XN/T</w:t>
            </w:r>
            <w:r>
              <w:rPr>
                <w:rFonts w:hint="eastAsia" w:ascii="楷体" w:hAnsi="楷体" w:eastAsia="楷体" w:cs="宋体"/>
                <w:spacing w:val="-2"/>
                <w:sz w:val="18"/>
                <w:szCs w:val="18"/>
                <w:highlight w:val="none"/>
                <w:lang w:val="en-US" w:eastAsia="zh-CN"/>
              </w:rPr>
              <w:t>/Q/C</w:t>
            </w:r>
            <w:r>
              <w:rPr>
                <w:rFonts w:hint="eastAsia" w:ascii="楷体" w:hAnsi="楷体" w:eastAsia="楷体" w:cs="宋体"/>
                <w:spacing w:val="-2"/>
                <w:sz w:val="18"/>
                <w:szCs w:val="18"/>
                <w:highlight w:val="none"/>
              </w:rPr>
              <w:t>份额</w:t>
            </w:r>
            <w:r>
              <w:rPr>
                <w:rFonts w:hint="eastAsia" w:ascii="楷体" w:hAnsi="楷体" w:eastAsia="楷体" w:cs="宋体"/>
                <w:spacing w:val="-2"/>
                <w:sz w:val="18"/>
                <w:szCs w:val="18"/>
                <w:highlight w:val="none"/>
                <w:lang w:val="en-US" w:eastAsia="zh-CN"/>
              </w:rPr>
              <w:t>0.20%</w:t>
            </w:r>
            <w:r>
              <w:rPr>
                <w:rFonts w:hint="eastAsia" w:ascii="楷体" w:hAnsi="楷体" w:eastAsia="楷体" w:cs="宋体"/>
                <w:spacing w:val="-2"/>
                <w:sz w:val="18"/>
                <w:szCs w:val="18"/>
                <w:highlight w:val="none"/>
                <w:lang w:eastAsia="zh-CN"/>
              </w:rPr>
              <w:t>；</w:t>
            </w:r>
            <w:r>
              <w:rPr>
                <w:rFonts w:hint="eastAsia" w:ascii="楷体" w:hAnsi="楷体" w:eastAsia="楷体" w:cs="宋体"/>
                <w:spacing w:val="-2"/>
                <w:sz w:val="18"/>
                <w:szCs w:val="18"/>
                <w:highlight w:val="none"/>
                <w:lang w:val="en-US" w:eastAsia="zh-CN"/>
              </w:rPr>
              <w:t>W份额0.40%</w:t>
            </w:r>
            <w:r>
              <w:rPr>
                <w:rFonts w:hint="eastAsia" w:ascii="楷体" w:hAnsi="楷体" w:eastAsia="楷体" w:cs="宋体"/>
                <w:spacing w:val="-2"/>
                <w:sz w:val="18"/>
                <w:szCs w:val="18"/>
                <w:highlight w:val="none"/>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lang w:eastAsia="zh-CN"/>
              </w:rPr>
            </w:pPr>
            <w:r>
              <w:rPr>
                <w:rFonts w:hint="eastAsia" w:ascii="楷体" w:hAnsi="楷体" w:eastAsia="楷体" w:cs="宋体"/>
                <w:spacing w:val="-2"/>
                <w:sz w:val="18"/>
                <w:szCs w:val="18"/>
                <w:highlight w:val="none"/>
              </w:rPr>
              <w:t>3.投资管理费率（年化）：</w:t>
            </w:r>
            <w:r>
              <w:rPr>
                <w:rFonts w:hint="eastAsia" w:ascii="楷体" w:hAnsi="楷体" w:eastAsia="楷体" w:cs="宋体"/>
                <w:spacing w:val="-2"/>
                <w:sz w:val="18"/>
                <w:szCs w:val="18"/>
                <w:highlight w:val="none"/>
                <w:lang w:val="en-US" w:eastAsia="zh-CN"/>
              </w:rPr>
              <w:t>0.50</w:t>
            </w:r>
            <w:r>
              <w:rPr>
                <w:rFonts w:hint="eastAsia" w:ascii="楷体" w:hAnsi="楷体" w:eastAsia="楷体" w:cs="宋体"/>
                <w:spacing w:val="-2"/>
                <w:sz w:val="18"/>
                <w:szCs w:val="18"/>
                <w:highlight w:val="none"/>
              </w:rPr>
              <w:t>%</w:t>
            </w:r>
            <w:r>
              <w:rPr>
                <w:rFonts w:hint="eastAsia" w:ascii="楷体" w:hAnsi="楷体" w:eastAsia="楷体" w:cs="宋体"/>
                <w:spacing w:val="-2"/>
                <w:sz w:val="18"/>
                <w:szCs w:val="18"/>
                <w:highlight w:val="none"/>
                <w:lang w:eastAsia="zh-CN"/>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b/>
                <w:spacing w:val="-2"/>
                <w:sz w:val="18"/>
                <w:szCs w:val="18"/>
                <w:highlight w:val="none"/>
                <w:u w:val="single"/>
              </w:rPr>
              <w:t>4</w:t>
            </w:r>
            <w:r>
              <w:rPr>
                <w:rFonts w:ascii="楷体" w:hAnsi="楷体" w:eastAsia="楷体" w:cs="宋体"/>
                <w:b/>
                <w:spacing w:val="-2"/>
                <w:sz w:val="18"/>
                <w:szCs w:val="18"/>
                <w:highlight w:val="none"/>
                <w:u w:val="single"/>
              </w:rPr>
              <w:t>.强制赎回费</w:t>
            </w:r>
            <w:r>
              <w:rPr>
                <w:rFonts w:hint="eastAsia" w:ascii="楷体" w:hAnsi="楷体" w:eastAsia="楷体" w:cs="宋体"/>
                <w:spacing w:val="-2"/>
                <w:sz w:val="18"/>
                <w:szCs w:val="18"/>
                <w:highlight w:val="none"/>
              </w:rPr>
              <w:t>：</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（1）</w:t>
            </w:r>
            <w:r>
              <w:rPr>
                <w:rFonts w:hint="eastAsia" w:ascii="楷体" w:hAnsi="楷体" w:eastAsia="楷体" w:cs="宋体"/>
                <w:b/>
                <w:spacing w:val="-2"/>
                <w:sz w:val="18"/>
                <w:szCs w:val="18"/>
                <w:highlight w:val="none"/>
                <w:u w:val="single"/>
              </w:rPr>
              <w:t>在满足相关流动性风险管理要求的前提下，当本产品持有的现金、国债、中央银行票据、政策性金融债券以及</w:t>
            </w:r>
            <w:r>
              <w:rPr>
                <w:rFonts w:ascii="楷体" w:hAnsi="楷体" w:eastAsia="楷体" w:cs="宋体"/>
                <w:b/>
                <w:spacing w:val="-2"/>
                <w:sz w:val="18"/>
                <w:szCs w:val="18"/>
                <w:highlight w:val="none"/>
                <w:u w:val="single"/>
              </w:rPr>
              <w:t>5个交易日内到期的其他金融工具占本产品资产净值的比例合计低于5%且偏离度为负时，管理人</w:t>
            </w:r>
            <w:r>
              <w:rPr>
                <w:rFonts w:hint="eastAsia" w:ascii="楷体" w:hAnsi="楷体" w:eastAsia="楷体" w:cs="宋体"/>
                <w:b/>
                <w:spacing w:val="-2"/>
                <w:sz w:val="18"/>
                <w:szCs w:val="18"/>
                <w:highlight w:val="none"/>
                <w:u w:val="single"/>
              </w:rPr>
              <w:t>应当</w:t>
            </w:r>
            <w:r>
              <w:rPr>
                <w:rFonts w:ascii="楷体" w:hAnsi="楷体" w:eastAsia="楷体" w:cs="宋体"/>
                <w:b/>
                <w:spacing w:val="-2"/>
                <w:sz w:val="18"/>
                <w:szCs w:val="18"/>
                <w:highlight w:val="none"/>
                <w:u w:val="single"/>
              </w:rPr>
              <w:t>对当日单个投资者申请赎回份额超过本产品总份额1%以上的赎回申请征收1%的强制赎回费用，并将上述赎回费用全额计入本产品财产。</w:t>
            </w:r>
            <w:r>
              <w:rPr>
                <w:rFonts w:hint="eastAsia" w:ascii="楷体" w:hAnsi="楷体" w:eastAsia="楷体" w:cs="宋体"/>
                <w:spacing w:val="-2"/>
                <w:sz w:val="18"/>
                <w:szCs w:val="18"/>
                <w:highlight w:val="none"/>
              </w:rPr>
              <w:t>管理人与托管人协商确认上述做法无益于本产品利益最大化的情形除外。</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2）本产品前10名投资者的持有份额合计超过本产品总份额50%的，当投资组合中现金、国债、中央银行票据、政策性金融债券以及5个交易日内到期的其他金融工具占本产品资产净值的比例合计低于10%且偏离度为负时，</w:t>
            </w:r>
            <w:r>
              <w:rPr>
                <w:rFonts w:hint="eastAsia" w:ascii="楷体" w:hAnsi="楷体" w:eastAsia="楷体" w:cs="宋体"/>
                <w:b/>
                <w:spacing w:val="-2"/>
                <w:sz w:val="18"/>
                <w:szCs w:val="18"/>
                <w:highlight w:val="none"/>
                <w:u w:val="single"/>
              </w:rPr>
              <w:t>管理人有权对投资者超过本产品总份额</w:t>
            </w:r>
            <w:r>
              <w:rPr>
                <w:rFonts w:ascii="楷体" w:hAnsi="楷体" w:eastAsia="楷体" w:cs="宋体"/>
                <w:b/>
                <w:spacing w:val="-2"/>
                <w:sz w:val="18"/>
                <w:szCs w:val="18"/>
                <w:highlight w:val="none"/>
                <w:u w:val="single"/>
              </w:rPr>
              <w:t>1%以上的赎回申请征收1%的强制赎回费用。</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spacing w:val="-2"/>
                <w:sz w:val="18"/>
                <w:szCs w:val="18"/>
                <w:highlight w:val="none"/>
              </w:rPr>
              <w:t>法律法规或监管机构另有规定的，从其规定。</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b/>
                <w:spacing w:val="-2"/>
                <w:sz w:val="18"/>
                <w:szCs w:val="18"/>
                <w:highlight w:val="none"/>
                <w:u w:val="single"/>
              </w:rPr>
            </w:pPr>
            <w:r>
              <w:rPr>
                <w:rFonts w:hint="eastAsia" w:ascii="楷体" w:hAnsi="楷体" w:eastAsia="楷体" w:cs="宋体"/>
                <w:b/>
                <w:spacing w:val="-2"/>
                <w:sz w:val="18"/>
                <w:szCs w:val="18"/>
                <w:highlight w:val="none"/>
                <w:u w:val="single"/>
              </w:rPr>
              <w:t>本产品设置有多</w:t>
            </w:r>
            <w:r>
              <w:rPr>
                <w:rFonts w:hint="eastAsia" w:ascii="楷体" w:hAnsi="楷体" w:eastAsia="楷体" w:cs="宋体"/>
                <w:b/>
                <w:spacing w:val="-2"/>
                <w:sz w:val="18"/>
                <w:szCs w:val="18"/>
                <w:highlight w:val="none"/>
                <w:u w:val="single"/>
                <w:lang w:val="en-US" w:eastAsia="zh-CN"/>
              </w:rPr>
              <w:t>类</w:t>
            </w:r>
            <w:r>
              <w:rPr>
                <w:rFonts w:hint="eastAsia" w:ascii="楷体" w:hAnsi="楷体" w:eastAsia="楷体" w:cs="宋体"/>
                <w:b/>
                <w:spacing w:val="-2"/>
                <w:sz w:val="18"/>
                <w:szCs w:val="18"/>
                <w:highlight w:val="none"/>
                <w:u w:val="single"/>
              </w:rPr>
              <w:t>份额，各</w:t>
            </w:r>
            <w:r>
              <w:rPr>
                <w:rFonts w:hint="eastAsia" w:ascii="楷体" w:hAnsi="楷体" w:eastAsia="楷体" w:cs="宋体"/>
                <w:b/>
                <w:spacing w:val="-2"/>
                <w:sz w:val="18"/>
                <w:szCs w:val="18"/>
                <w:highlight w:val="none"/>
                <w:u w:val="single"/>
                <w:lang w:val="en-US" w:eastAsia="zh-CN"/>
              </w:rPr>
              <w:t>类</w:t>
            </w:r>
            <w:r>
              <w:rPr>
                <w:rFonts w:hint="eastAsia" w:ascii="楷体" w:hAnsi="楷体" w:eastAsia="楷体" w:cs="宋体"/>
                <w:b/>
                <w:spacing w:val="-2"/>
                <w:sz w:val="18"/>
                <w:szCs w:val="18"/>
                <w:highlight w:val="none"/>
                <w:u w:val="single"/>
              </w:rPr>
              <w:t>份额实际收取的销售服务费率、投资管理费率可能存在差异，投资者应根据各</w:t>
            </w:r>
            <w:r>
              <w:rPr>
                <w:rFonts w:hint="eastAsia" w:ascii="楷体" w:hAnsi="楷体" w:eastAsia="楷体" w:cs="宋体"/>
                <w:b/>
                <w:spacing w:val="-2"/>
                <w:sz w:val="18"/>
                <w:szCs w:val="18"/>
                <w:highlight w:val="none"/>
                <w:u w:val="single"/>
                <w:lang w:val="en-US" w:eastAsia="zh-CN"/>
              </w:rPr>
              <w:t>类</w:t>
            </w:r>
            <w:r>
              <w:rPr>
                <w:rFonts w:hint="eastAsia" w:ascii="楷体" w:hAnsi="楷体" w:eastAsia="楷体" w:cs="宋体"/>
                <w:b/>
                <w:spacing w:val="-2"/>
                <w:sz w:val="18"/>
                <w:szCs w:val="18"/>
                <w:highlight w:val="none"/>
                <w:u w:val="single"/>
              </w:rPr>
              <w:t>份额收费情况自主选择购买。</w:t>
            </w:r>
          </w:p>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highlight w:val="none"/>
              </w:rPr>
            </w:pPr>
            <w:r>
              <w:rPr>
                <w:rFonts w:hint="eastAsia" w:ascii="楷体" w:hAnsi="楷体" w:eastAsia="楷体" w:cs="宋体"/>
                <w:b/>
                <w:bCs/>
                <w:spacing w:val="-2"/>
                <w:sz w:val="18"/>
                <w:szCs w:val="18"/>
                <w:highlight w:val="none"/>
                <w:u w:val="single"/>
              </w:rPr>
              <w:t>产品存续期内管理人有权根据产品运行情况制定费率优惠措施，优惠后实际执行的费率以管理人公告为准。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tcBorders>
              <w:bottom w:val="single" w:color="auto" w:sz="4" w:space="0"/>
            </w:tcBorders>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收益分配</w:t>
            </w:r>
          </w:p>
        </w:tc>
        <w:tc>
          <w:tcPr>
            <w:tcW w:w="7937" w:type="dxa"/>
            <w:tcBorders>
              <w:bottom w:val="single" w:color="auto" w:sz="4" w:space="0"/>
            </w:tcBorders>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本理财产品根据每日收益情况，以理财计划实际收益（如有）为基准，每日为投资者计提当日理财收益，每日结转份额，投资者继续持有的红利份额可参与后续理财产品投资收益分配。</w:t>
            </w:r>
            <w:r>
              <w:rPr>
                <w:rFonts w:ascii="楷体" w:hAnsi="楷体" w:eastAsia="楷体" w:cs="宋体"/>
                <w:spacing w:val="-2"/>
                <w:sz w:val="18"/>
                <w:szCs w:val="18"/>
              </w:rPr>
              <w:t>详见下文</w:t>
            </w:r>
            <w:r>
              <w:rPr>
                <w:rFonts w:hint="eastAsia" w:ascii="楷体" w:hAnsi="楷体" w:eastAsia="楷体" w:cs="宋体"/>
                <w:spacing w:val="-2"/>
                <w:sz w:val="18"/>
                <w:szCs w:val="18"/>
              </w:rPr>
              <w:t>“收益分配”。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Style w:val="36"/>
              <w:keepNext w:val="0"/>
              <w:keepLines w:val="0"/>
              <w:pageBreakBefore w:val="0"/>
              <w:kinsoku w:val="0"/>
              <w:wordWrap/>
              <w:overflowPunct w:val="0"/>
              <w:topLinePunct w:val="0"/>
              <w:autoSpaceDE/>
              <w:autoSpaceDN/>
              <w:bidi w:val="0"/>
              <w:snapToGrid w:val="0"/>
              <w:spacing w:before="0"/>
              <w:ind w:left="21" w:leftChars="10" w:right="21" w:rightChars="10"/>
              <w:jc w:val="both"/>
              <w:textAlignment w:val="auto"/>
              <w:rPr>
                <w:rFonts w:hint="eastAsia" w:ascii="楷体" w:hAnsi="楷体" w:eastAsia="楷体" w:cs="宋体"/>
                <w:b/>
                <w:spacing w:val="-2"/>
                <w:sz w:val="18"/>
                <w:szCs w:val="18"/>
              </w:rPr>
            </w:pPr>
            <w:r>
              <w:rPr>
                <w:rFonts w:hint="eastAsia" w:ascii="楷体" w:hAnsi="楷体" w:eastAsia="楷体" w:cs="宋体"/>
                <w:b/>
                <w:spacing w:val="-2"/>
                <w:sz w:val="18"/>
                <w:szCs w:val="18"/>
              </w:rPr>
              <w:t>税款</w:t>
            </w:r>
          </w:p>
        </w:tc>
        <w:tc>
          <w:tcPr>
            <w:tcW w:w="7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ordWrap/>
              <w:topLinePunct w:val="0"/>
              <w:autoSpaceDE/>
              <w:autoSpaceDN/>
              <w:bidi w:val="0"/>
              <w:snapToGrid w:val="0"/>
              <w:ind w:left="21" w:leftChars="10" w:right="21" w:rightChars="10"/>
              <w:textAlignment w:val="auto"/>
              <w:rPr>
                <w:rFonts w:hint="eastAsia" w:ascii="楷体" w:hAnsi="楷体" w:eastAsia="楷体" w:cs="宋体"/>
                <w:spacing w:val="-2"/>
                <w:sz w:val="18"/>
                <w:szCs w:val="18"/>
              </w:rPr>
            </w:pPr>
            <w:r>
              <w:rPr>
                <w:rFonts w:hint="eastAsia" w:ascii="楷体" w:hAnsi="楷体" w:eastAsia="楷体" w:cs="宋体"/>
                <w:spacing w:val="-2"/>
                <w:sz w:val="18"/>
                <w:szCs w:val="18"/>
              </w:rPr>
              <w:t>根据中国增值税等税收相关法律法规、税收政策等要求，产品应缴纳的增值税及附加税费（包括但不限于城市维护建设税、教育费附加及地方教育附加等）由管理人从理财产品财产中支付，由此可能会使理财产品净值或实际收益降低。</w:t>
            </w:r>
            <w:r>
              <w:rPr>
                <w:rFonts w:hint="eastAsia" w:ascii="楷体" w:hAnsi="楷体" w:eastAsia="楷体" w:cs="宋体"/>
                <w:b/>
                <w:bCs/>
                <w:spacing w:val="-2"/>
                <w:sz w:val="18"/>
                <w:szCs w:val="18"/>
                <w:u w:val="single"/>
              </w:rPr>
              <w:t>投资者从理财产品取得的收益应缴纳的税款，由投资者自行申报及缴纳。</w:t>
            </w:r>
          </w:p>
        </w:tc>
      </w:tr>
    </w:tbl>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产品管理人</w:t>
      </w:r>
    </w:p>
    <w:p>
      <w:pPr>
        <w:keepNext w:val="0"/>
        <w:keepLines w:val="0"/>
        <w:pageBreakBefore w:val="0"/>
        <w:numPr>
          <w:ilvl w:val="255"/>
          <w:numId w:val="0"/>
        </w:numPr>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本产品管理人为</w:t>
      </w:r>
      <w:r>
        <w:rPr>
          <w:rFonts w:hint="eastAsia" w:ascii="楷体" w:hAnsi="楷体" w:eastAsia="楷体" w:cs="楷体"/>
          <w:b/>
          <w:bCs/>
          <w:szCs w:val="21"/>
          <w:u w:val="single"/>
        </w:rPr>
        <w:t>苏银理财有限责任公司（以下简称“苏银理财”）</w:t>
      </w:r>
      <w:r>
        <w:rPr>
          <w:rFonts w:hint="eastAsia" w:ascii="楷体" w:hAnsi="楷体" w:eastAsia="楷体"/>
          <w:szCs w:val="21"/>
        </w:rPr>
        <w:t>，苏银理财系江苏银行股份有限公司全资控股的银行理财子公司。公司主要业务范围：面向不特定社会公众公开发行理财产品，对受托的投资和财产进行投资和管理；面向合格投资者非公开发行理财产品，对受托的投资和财产进行投资和管理；理财顾问和咨询服务；经监管机构批准的其他业务等。</w:t>
      </w:r>
    </w:p>
    <w:p>
      <w:pPr>
        <w:keepNext w:val="0"/>
        <w:keepLines w:val="0"/>
        <w:pageBreakBefore w:val="0"/>
        <w:numPr>
          <w:ilvl w:val="255"/>
          <w:numId w:val="0"/>
        </w:numPr>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投资者在此授权并同意苏银理财享有以下权利：按照本理财产品合同的约定，管理、运用和处分理财计划资金；按照本理财产品合同的约定，及时、足额获得投资管理费；管理人有权根据本理财产品合同的约定提前终止或延长本理财产品的期限；管理人有权调整本理财产品的认购规模上限、认购起点、认购金额上限、认购资金的最低金额等要素；管理人有权依照法律规定和监管机构的要求将投资者的信息向有权部门或相关机构披露；以理财产品投资管理人的名义，依照法律法规相关规定以及为理财产品的利益，对被投资的各类基金、公司/企业等行使出资人/投资者权利（包括但不限于表决投票的权利）以及行使因理财产品投资于证券类基础资产（含债券）或其他基础资产（包括但不限于债权类资产）所产生的相关权利；以理财产品投资管理人的名义，依照法律法规相关规定以及代表理财产品份额持有人的利益行使代为追索的权利（包括但不限于提起诉讼/仲裁、申请保全/执行的权利）或者实施其他法律行为；法律法规、监管政策和本理财计划文件约定的其他权利。</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产品托管人</w:t>
      </w:r>
    </w:p>
    <w:p>
      <w:pPr>
        <w:pStyle w:val="2"/>
        <w:keepNext w:val="0"/>
        <w:keepLines w:val="0"/>
        <w:pageBreakBefore w:val="0"/>
        <w:wordWrap/>
        <w:topLinePunct w:val="0"/>
        <w:autoSpaceDE/>
        <w:autoSpaceDN/>
        <w:bidi w:val="0"/>
        <w:spacing w:before="0"/>
        <w:ind w:left="0" w:firstLine="400" w:firstLineChars="200"/>
        <w:textAlignment w:val="auto"/>
      </w:pPr>
      <w:r>
        <w:rPr>
          <w:rFonts w:hint="eastAsia" w:ascii="楷体" w:hAnsi="楷体" w:eastAsia="楷体"/>
          <w:szCs w:val="21"/>
        </w:rPr>
        <w:t>本产品托管人为</w:t>
      </w:r>
      <w:r>
        <w:rPr>
          <w:rFonts w:hint="eastAsia" w:ascii="楷体" w:hAnsi="楷体" w:eastAsia="楷体" w:cs="楷体"/>
          <w:b/>
          <w:bCs/>
          <w:kern w:val="2"/>
          <w:sz w:val="21"/>
          <w:szCs w:val="21"/>
          <w:u w:val="single"/>
          <w:lang w:val="en-US" w:eastAsia="zh-CN" w:bidi="ar-SA"/>
        </w:rPr>
        <w:t>江苏银行股份有限公司</w:t>
      </w:r>
      <w:r>
        <w:rPr>
          <w:rFonts w:hint="eastAsia" w:ascii="楷体" w:hAnsi="楷体" w:eastAsia="楷体"/>
          <w:szCs w:val="21"/>
        </w:rPr>
        <w:t>。托管人职责：安全保管理财产品财产；为理财产品开立银行托管账户、证券账户等；确认与执行理财产品资金划拨指令，办理理财产品资金的收付，核对理财产品资金划拨记录；建立与理财产品管理人的对账机制，复核理财产品资产净值、理财产品份额申购、赎回价格，及时核查投资资金的支付和到账情况；监督理财产品投资运作；办理与理财产品托管业务活动相关的信息披露事项；保存理财产品托管业务活动的记录、账册、报表和其他相关材料；对理财产品投资信息和相关资料承担保密责任；国务院银行业监督管理机构规定的其他职责。</w:t>
      </w:r>
      <w:r>
        <w:rPr>
          <w:rFonts w:hint="eastAsia" w:ascii="楷体" w:hAnsi="楷体" w:eastAsia="楷体" w:cs="楷体"/>
          <w:b/>
          <w:bCs/>
          <w:szCs w:val="21"/>
          <w:u w:val="single"/>
        </w:rPr>
        <w:t>产品管理人在此特别披露：托管人为产品管理人的关联方，产品管理人聘请其担任托管人已履行现行法律法规和监管规定所规定必须履行的程序，产品管理人、投资者同意并接受理财产品由托管人托管。</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销售机构</w:t>
      </w:r>
    </w:p>
    <w:p>
      <w:pPr>
        <w:keepNext w:val="0"/>
        <w:keepLines w:val="0"/>
        <w:pageBreakBefore w:val="0"/>
        <w:tabs>
          <w:tab w:val="left" w:pos="1134"/>
        </w:tabs>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产品可以通过商业银行、农村合作银行、村镇银行、农村信用合作社等吸收公众存款的银行业金融机构，或者国务院银行业监督管理机构认可的其他机构进行销售。销售机构负责理财产品宣传推广、投资者风险承受能力评估和投资者适当性管理、理财产品投资者身份识别及反洗钱、反恐怖融资及非居民金融账户涉税信息调查、理财产品份额认购/申购/赎回、协助管理人与投资者订立理财产品销售文件、协助投资者与管理人沟通、接受投资者咨询和投资者维护等销售服务工作。销售机构不承担产品</w:t>
      </w:r>
      <w:r>
        <w:rPr>
          <w:rFonts w:hint="eastAsia" w:ascii="楷体" w:hAnsi="楷体" w:eastAsia="楷体"/>
          <w:szCs w:val="21"/>
          <w:lang w:eastAsia="zh-CN"/>
        </w:rPr>
        <w:t>投资和兑付责任</w:t>
      </w:r>
      <w:r>
        <w:rPr>
          <w:rFonts w:hint="eastAsia" w:ascii="楷体" w:hAnsi="楷体" w:eastAsia="楷体"/>
          <w:szCs w:val="21"/>
        </w:rPr>
        <w:t>，产品的</w:t>
      </w:r>
      <w:r>
        <w:rPr>
          <w:rFonts w:hint="eastAsia" w:ascii="楷体" w:hAnsi="楷体" w:eastAsia="楷体"/>
          <w:szCs w:val="21"/>
          <w:lang w:eastAsia="zh-CN"/>
        </w:rPr>
        <w:t>投资和兑付责任</w:t>
      </w:r>
      <w:r>
        <w:rPr>
          <w:rFonts w:hint="eastAsia" w:ascii="楷体" w:hAnsi="楷体" w:eastAsia="楷体"/>
          <w:szCs w:val="21"/>
        </w:rPr>
        <w:t>由管理人承担。</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本产品各份额销售机构如下：</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A份额：江苏银行股份有限公司/苏银理财有限责任公司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F份额：上海农村商业银行股份有限公司/江苏银行股份有限公司/苏州银行股份有限公司/苏银理财有限责任公司/台州银行股份有限公司/中信百信银行股份有限公司/莱商银行股份有限公司/兴业银行股份有限公司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G份额：上海银行股份有限公司</w:t>
      </w:r>
    </w:p>
    <w:p>
      <w:pPr>
        <w:keepNext w:val="0"/>
        <w:keepLines w:val="0"/>
        <w:pageBreakBefore w:val="0"/>
        <w:tabs>
          <w:tab w:val="left" w:pos="993"/>
        </w:tabs>
        <w:wordWrap/>
        <w:topLinePunct w:val="0"/>
        <w:autoSpaceDE/>
        <w:autoSpaceDN/>
        <w:bidi w:val="0"/>
        <w:ind w:firstLine="420" w:firstLineChars="200"/>
        <w:textAlignment w:val="auto"/>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H份额：杭州联合农村商业银行股份有限公司/浙江绍兴瑞丰农村商业银行股份有限公司/浙江温州鹿城农村商业银行股份有限公司/浙江乐清农村商业银行股份有限公司/山西银行股份有限公司/浙江德清农村商业银行股份有限公司/浙江萧山农村商业银行股份有限公司/浙江江山农村商业银行股份有限公司/浙江台州路桥农村商业银行股份有限公司/浙江舟山定海海洋农村商业银行股份有限公司/中邮邮惠万家银行有限责任公司/浙江平湖农村商业银行股份有限公司/浙江桐乡农村商业银行股份有限公司/宁波镇海农村商业银行股份有限公司/浙江南浔农村商业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W份额：浙江网商银行股份有限公司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I份额：苏州银行股份有限公司/苏银理财有限责任公司/宁波通商银行股份有限公司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J份额：江苏江阴农村商业银行股份有限公司/宁波通商银行股份有限公司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default" w:ascii="楷体" w:hAnsi="楷体" w:eastAsia="楷体"/>
          <w:szCs w:val="21"/>
          <w:highlight w:val="none"/>
          <w:lang w:val="en-US" w:eastAsia="zh-CN"/>
        </w:rPr>
      </w:pPr>
      <w:r>
        <w:rPr>
          <w:rFonts w:hint="eastAsia" w:ascii="楷体" w:hAnsi="楷体" w:eastAsia="楷体"/>
          <w:szCs w:val="21"/>
          <w:highlight w:val="none"/>
          <w:lang w:val="en-US" w:eastAsia="zh-CN"/>
        </w:rPr>
        <w:t>JS份额：江苏常熟农村商业银行股份有限公司/苏银理财</w:t>
      </w:r>
      <w:bookmarkStart w:id="1" w:name="_GoBack"/>
      <w:bookmarkEnd w:id="1"/>
      <w:r>
        <w:rPr>
          <w:rFonts w:hint="eastAsia" w:ascii="楷体" w:hAnsi="楷体" w:eastAsia="楷体"/>
          <w:szCs w:val="21"/>
          <w:highlight w:val="none"/>
          <w:lang w:val="en-US" w:eastAsia="zh-CN"/>
        </w:rPr>
        <w:t>有限责任公司/江苏扬州农村商业银行股份有限公司/江苏丹阳农村商业银行股份有限公司/江苏盐城农村商业银行股份有限公司/江苏如东农村商业银行股份有限公司/江苏泰兴农村商业银行股份有限公司/江苏扬中农村商业银行股份有限公司/徐州农村商业银行股份有限公司/江苏洪泽农村商业银行股份有限公司/江苏金湖农村商业银行股份有限公司/江苏沛县农村商业银行股份有限公司/江苏灌云农村商业银行股份有限公司/江苏涟水农村商业银行股份有限公司/连云港东方农村商业银行股份有限公司/江苏句容农村商业银行股份有限公司/江苏沭阳农村商业银行股份有限公司/江苏泗阳农村商业银行股份有限公司/江苏睢宁农村商业银行股份有限公司/江苏盱眙农村商业银行股份有限公司/江苏兴化农村商业银行股份有限公司/江苏宜兴农村商业银行股份有限公司/江苏溧水农村商业银行股份有限公司/江苏大丰农村商业银行股份有限公司/江苏启东农村商业银行股份有限公司/江苏海安农村商业银行股份有限公司/江苏如皋农村商业银行股份有限公司/江苏海门农村商业银行股份有限公司/江苏仪征农村商业银行股份有限公司/江苏姜堰农村商业银行股份有限公司/江苏泰州农村商业银行股份有限公司/江苏民丰农村商业银行股份有限公司/江苏高淳农村商业银行股份有限公司/江苏射阳农村商业银行股份有限公司/江苏赣榆农村商业银行股份有限公司/江苏丰县农村商业银行股份有限公司/江苏建湖农村商业银行股份有限公司/江苏阜宁农村商业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K份额：宁波通商银行股份有限公司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M份额：江苏银行股份有限公司/苏银理财有限责任公司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N份额：江苏银行股份有限公司/苏银理财有限责任公司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P份额：江苏银行股份有限公司/苏银理财有限责任公司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DG份额：苏银理财有限责任公司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XN份额：苏银理财有限责任公司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T份额：江苏银行股份有限公司/苏银理财有限责任公司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Q份额：苏银理财有限责任公司</w:t>
      </w:r>
    </w:p>
    <w:p>
      <w:pPr>
        <w:keepNext w:val="0"/>
        <w:keepLines w:val="0"/>
        <w:pageBreakBefore w:val="0"/>
        <w:tabs>
          <w:tab w:val="left" w:pos="993"/>
        </w:tabs>
        <w:wordWrap/>
        <w:topLinePunct w:val="0"/>
        <w:autoSpaceDE/>
        <w:autoSpaceDN/>
        <w:bidi w:val="0"/>
        <w:ind w:firstLine="420" w:firstLineChars="200"/>
        <w:textAlignment w:val="auto"/>
        <w:rPr>
          <w:rFonts w:hint="eastAsia" w:ascii="楷体" w:hAnsi="楷体" w:eastAsia="楷体"/>
          <w:szCs w:val="21"/>
          <w:highlight w:val="none"/>
          <w:lang w:val="en-US" w:eastAsia="zh-CN"/>
        </w:rPr>
      </w:pPr>
      <w:r>
        <w:rPr>
          <w:rFonts w:hint="eastAsia" w:ascii="楷体" w:hAnsi="楷体" w:eastAsia="楷体"/>
          <w:szCs w:val="21"/>
          <w:highlight w:val="none"/>
          <w:lang w:val="en-US" w:eastAsia="zh-CN"/>
        </w:rPr>
        <w:t>C份额：江苏银行股份有限公司/苏银理财有限责任公司</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名词释义</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在本理财产品说明书中，除非上下文另有明确约定，下列用词将具有如下含义：</w:t>
      </w:r>
    </w:p>
    <w:p>
      <w:pPr>
        <w:keepNext w:val="0"/>
        <w:keepLines w:val="0"/>
        <w:pageBreakBefore w:val="0"/>
        <w:widowControl w:val="0"/>
        <w:numPr>
          <w:ilvl w:val="0"/>
          <w:numId w:val="3"/>
        </w:numPr>
        <w:tabs>
          <w:tab w:val="left" w:pos="993"/>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理财产品用语</w:t>
      </w:r>
    </w:p>
    <w:p>
      <w:pPr>
        <w:keepNext w:val="0"/>
        <w:keepLines w:val="0"/>
        <w:pageBreakBefore w:val="0"/>
        <w:widowControl w:val="0"/>
        <w:numPr>
          <w:ilvl w:val="0"/>
          <w:numId w:val="4"/>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销售代码：指本理财产品可能</w:t>
      </w:r>
      <w:r>
        <w:rPr>
          <w:rFonts w:hint="eastAsia" w:ascii="楷体" w:hAnsi="楷体" w:eastAsia="楷体" w:cs="Calibri"/>
          <w:color w:val="auto"/>
          <w:sz w:val="21"/>
          <w:szCs w:val="21"/>
          <w:lang w:val="en-US" w:eastAsia="zh-CN"/>
        </w:rPr>
        <w:t>设置一类或多类</w:t>
      </w:r>
      <w:r>
        <w:rPr>
          <w:rFonts w:hint="eastAsia" w:ascii="楷体" w:hAnsi="楷体" w:eastAsia="楷体" w:cs="Calibri"/>
          <w:color w:val="auto"/>
          <w:sz w:val="21"/>
          <w:szCs w:val="21"/>
        </w:rPr>
        <w:t>产品份额，管理人在理财产品销售管理过程中</w:t>
      </w:r>
      <w:r>
        <w:rPr>
          <w:rFonts w:hint="eastAsia" w:ascii="楷体" w:hAnsi="楷体" w:eastAsia="楷体" w:cs="Calibri"/>
          <w:color w:val="auto"/>
          <w:sz w:val="21"/>
          <w:szCs w:val="21"/>
          <w:highlight w:val="none"/>
          <w:lang w:val="en-US" w:eastAsia="zh-CN"/>
        </w:rPr>
        <w:t>对各类份额</w:t>
      </w:r>
      <w:r>
        <w:rPr>
          <w:rFonts w:hint="eastAsia" w:ascii="楷体" w:hAnsi="楷体" w:eastAsia="楷体" w:cs="Calibri"/>
          <w:color w:val="auto"/>
          <w:sz w:val="21"/>
          <w:szCs w:val="21"/>
          <w:highlight w:val="none"/>
        </w:rPr>
        <w:t>设置的内部</w:t>
      </w:r>
      <w:r>
        <w:rPr>
          <w:rFonts w:hint="eastAsia" w:ascii="楷体" w:hAnsi="楷体" w:eastAsia="楷体" w:cs="Calibri"/>
          <w:color w:val="auto"/>
          <w:sz w:val="21"/>
          <w:szCs w:val="21"/>
          <w:highlight w:val="none"/>
          <w:lang w:val="en-US" w:eastAsia="zh-CN"/>
        </w:rPr>
        <w:t>代码</w:t>
      </w:r>
      <w:r>
        <w:rPr>
          <w:rFonts w:hint="eastAsia" w:ascii="楷体" w:hAnsi="楷体" w:eastAsia="楷体" w:cs="Calibri"/>
          <w:color w:val="auto"/>
          <w:sz w:val="21"/>
          <w:szCs w:val="21"/>
          <w:highlight w:val="none"/>
        </w:rPr>
        <w:t>。</w:t>
      </w:r>
    </w:p>
    <w:p>
      <w:pPr>
        <w:keepNext w:val="0"/>
        <w:keepLines w:val="0"/>
        <w:pageBreakBefore w:val="0"/>
        <w:widowControl w:val="0"/>
        <w:numPr>
          <w:ilvl w:val="0"/>
          <w:numId w:val="4"/>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理财产品份额：指投资者持有本理财产品的单位数额。</w:t>
      </w:r>
    </w:p>
    <w:p>
      <w:pPr>
        <w:keepNext w:val="0"/>
        <w:keepLines w:val="0"/>
        <w:pageBreakBefore w:val="0"/>
        <w:widowControl w:val="0"/>
        <w:numPr>
          <w:ilvl w:val="0"/>
          <w:numId w:val="4"/>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highlight w:val="none"/>
        </w:rPr>
      </w:pPr>
      <w:r>
        <w:rPr>
          <w:rFonts w:hint="eastAsia" w:ascii="楷体" w:hAnsi="楷体" w:eastAsia="楷体" w:cs="Calibri"/>
          <w:color w:val="auto"/>
          <w:sz w:val="21"/>
          <w:szCs w:val="21"/>
          <w:highlight w:val="none"/>
          <w:lang w:val="en-US" w:eastAsia="zh-CN"/>
        </w:rPr>
        <w:t>理财</w:t>
      </w:r>
      <w:r>
        <w:rPr>
          <w:rFonts w:hint="eastAsia" w:ascii="楷体" w:hAnsi="楷体" w:eastAsia="楷体" w:cs="Calibri"/>
          <w:color w:val="auto"/>
          <w:sz w:val="21"/>
          <w:szCs w:val="21"/>
          <w:highlight w:val="none"/>
        </w:rPr>
        <w:t>产品资产总值</w:t>
      </w:r>
      <w:r>
        <w:rPr>
          <w:rFonts w:hint="eastAsia" w:ascii="楷体" w:hAnsi="楷体" w:eastAsia="楷体" w:cs="Calibri"/>
          <w:color w:val="auto"/>
          <w:sz w:val="21"/>
          <w:szCs w:val="21"/>
          <w:highlight w:val="none"/>
          <w:lang w:eastAsia="zh-CN"/>
        </w:rPr>
        <w:t>：</w:t>
      </w:r>
      <w:r>
        <w:rPr>
          <w:rFonts w:hint="eastAsia" w:ascii="楷体" w:hAnsi="楷体" w:eastAsia="楷体" w:cs="Calibri"/>
          <w:color w:val="auto"/>
          <w:sz w:val="21"/>
          <w:szCs w:val="21"/>
          <w:highlight w:val="none"/>
        </w:rPr>
        <w:t>指产品拥有的各类有价证券、银行存款、应收款项及其他资产的价值总和。</w:t>
      </w:r>
    </w:p>
    <w:p>
      <w:pPr>
        <w:keepNext w:val="0"/>
        <w:keepLines w:val="0"/>
        <w:pageBreakBefore w:val="0"/>
        <w:widowControl w:val="0"/>
        <w:numPr>
          <w:ilvl w:val="0"/>
          <w:numId w:val="4"/>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highlight w:val="none"/>
        </w:rPr>
      </w:pPr>
      <w:r>
        <w:rPr>
          <w:rFonts w:hint="eastAsia" w:ascii="楷体" w:hAnsi="楷体" w:eastAsia="楷体" w:cs="Calibri"/>
          <w:color w:val="auto"/>
          <w:sz w:val="21"/>
          <w:szCs w:val="21"/>
          <w:highlight w:val="none"/>
          <w:lang w:val="en-US" w:eastAsia="zh-CN"/>
        </w:rPr>
        <w:t>理财</w:t>
      </w:r>
      <w:r>
        <w:rPr>
          <w:rFonts w:hint="eastAsia" w:ascii="楷体" w:hAnsi="楷体" w:eastAsia="楷体" w:cs="Calibri"/>
          <w:color w:val="auto"/>
          <w:sz w:val="21"/>
          <w:szCs w:val="21"/>
          <w:highlight w:val="none"/>
        </w:rPr>
        <w:t>产品负债总值</w:t>
      </w:r>
      <w:r>
        <w:rPr>
          <w:rFonts w:hint="eastAsia" w:ascii="楷体" w:hAnsi="楷体" w:eastAsia="楷体" w:cs="Calibri"/>
          <w:color w:val="auto"/>
          <w:sz w:val="21"/>
          <w:szCs w:val="21"/>
          <w:highlight w:val="none"/>
          <w:lang w:eastAsia="zh-CN"/>
        </w:rPr>
        <w:t>：</w:t>
      </w:r>
      <w:r>
        <w:rPr>
          <w:rFonts w:hint="eastAsia" w:ascii="楷体" w:hAnsi="楷体" w:eastAsia="楷体" w:cs="Calibri"/>
          <w:color w:val="auto"/>
          <w:sz w:val="21"/>
          <w:szCs w:val="21"/>
          <w:highlight w:val="none"/>
        </w:rPr>
        <w:t>指产品运作及融资时形成的负债价值总和，包括融资资金本息、应付各项费用（包括托管费、销售</w:t>
      </w:r>
      <w:r>
        <w:rPr>
          <w:rFonts w:ascii="楷体" w:hAnsi="楷体" w:eastAsia="楷体" w:cs="Calibri"/>
          <w:color w:val="auto"/>
          <w:sz w:val="21"/>
          <w:szCs w:val="21"/>
          <w:highlight w:val="none"/>
        </w:rPr>
        <w:t>服务费、</w:t>
      </w:r>
      <w:r>
        <w:rPr>
          <w:rFonts w:hint="eastAsia" w:ascii="楷体" w:hAnsi="楷体" w:eastAsia="楷体" w:cs="Calibri"/>
          <w:color w:val="auto"/>
          <w:sz w:val="21"/>
          <w:szCs w:val="21"/>
          <w:highlight w:val="none"/>
        </w:rPr>
        <w:t>投资管理费、超额业绩报酬、其他费用等）、应付税金及其他应付款项等。</w:t>
      </w:r>
    </w:p>
    <w:p>
      <w:pPr>
        <w:keepNext w:val="0"/>
        <w:keepLines w:val="0"/>
        <w:pageBreakBefore w:val="0"/>
        <w:widowControl w:val="0"/>
        <w:numPr>
          <w:ilvl w:val="0"/>
          <w:numId w:val="4"/>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rPr>
      </w:pPr>
      <w:r>
        <w:rPr>
          <w:rFonts w:hint="eastAsia" w:ascii="楷体" w:hAnsi="楷体" w:eastAsia="楷体" w:cs="楷体"/>
          <w:color w:val="auto"/>
          <w:sz w:val="21"/>
          <w:szCs w:val="21"/>
          <w:highlight w:val="none"/>
        </w:rPr>
        <w:t>理财产品资产净值/</w:t>
      </w:r>
      <w:r>
        <w:rPr>
          <w:rFonts w:hint="eastAsia" w:ascii="楷体" w:hAnsi="楷体" w:eastAsia="楷体" w:cs="楷体"/>
          <w:color w:val="auto"/>
          <w:sz w:val="21"/>
          <w:szCs w:val="21"/>
          <w:highlight w:val="none"/>
          <w:lang w:val="en-US" w:eastAsia="zh-CN"/>
        </w:rPr>
        <w:t>净资产</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指产品</w:t>
      </w:r>
      <w:r>
        <w:rPr>
          <w:rFonts w:hint="eastAsia" w:ascii="楷体" w:hAnsi="楷体" w:eastAsia="楷体" w:cs="楷体"/>
          <w:color w:val="auto"/>
          <w:sz w:val="21"/>
          <w:szCs w:val="21"/>
          <w:highlight w:val="none"/>
        </w:rPr>
        <w:t>资产总值</w:t>
      </w:r>
      <w:r>
        <w:rPr>
          <w:rFonts w:hint="eastAsia" w:ascii="楷体" w:hAnsi="楷体" w:eastAsia="楷体" w:cs="楷体"/>
          <w:color w:val="auto"/>
          <w:sz w:val="21"/>
          <w:szCs w:val="21"/>
          <w:highlight w:val="none"/>
          <w:lang w:val="en-US" w:eastAsia="zh-CN"/>
        </w:rPr>
        <w:t>减去</w:t>
      </w:r>
      <w:r>
        <w:rPr>
          <w:rFonts w:hint="eastAsia" w:ascii="楷体" w:hAnsi="楷体" w:eastAsia="楷体" w:cs="楷体"/>
          <w:color w:val="auto"/>
          <w:sz w:val="21"/>
          <w:szCs w:val="21"/>
          <w:highlight w:val="none"/>
        </w:rPr>
        <w:t>产品负债总值</w:t>
      </w:r>
      <w:r>
        <w:rPr>
          <w:rFonts w:hint="eastAsia" w:ascii="楷体" w:hAnsi="楷体" w:eastAsia="楷体" w:cs="楷体"/>
          <w:color w:val="auto"/>
          <w:sz w:val="21"/>
          <w:szCs w:val="21"/>
          <w:highlight w:val="none"/>
          <w:lang w:val="en-US" w:eastAsia="zh-CN"/>
        </w:rPr>
        <w:t>后的价值</w:t>
      </w:r>
      <w:r>
        <w:rPr>
          <w:rFonts w:hint="eastAsia" w:ascii="楷体" w:hAnsi="楷体" w:eastAsia="楷体" w:cs="楷体"/>
          <w:color w:val="auto"/>
          <w:sz w:val="21"/>
          <w:szCs w:val="21"/>
          <w:highlight w:val="none"/>
        </w:rPr>
        <w:t>。</w:t>
      </w:r>
    </w:p>
    <w:p>
      <w:pPr>
        <w:keepNext w:val="0"/>
        <w:keepLines w:val="0"/>
        <w:pageBreakBefore w:val="0"/>
        <w:widowControl w:val="0"/>
        <w:numPr>
          <w:ilvl w:val="0"/>
          <w:numId w:val="4"/>
        </w:numPr>
        <w:tabs>
          <w:tab w:val="left" w:pos="851"/>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highlight w:val="none"/>
        </w:rPr>
      </w:pPr>
      <w:r>
        <w:rPr>
          <w:rFonts w:hint="eastAsia" w:ascii="楷体" w:hAnsi="楷体" w:eastAsia="楷体" w:cs="Calibri"/>
          <w:color w:val="auto"/>
          <w:sz w:val="21"/>
          <w:szCs w:val="21"/>
          <w:highlight w:val="none"/>
        </w:rPr>
        <w:t>理财产品份额单位净值/理财产品单位净值/单位净值：指每1份理财产品份额以人民币计价的价格。理财产品单位净值=资产净值/产品总份额。</w:t>
      </w:r>
    </w:p>
    <w:p>
      <w:pPr>
        <w:keepNext w:val="0"/>
        <w:keepLines w:val="0"/>
        <w:pageBreakBefore w:val="0"/>
        <w:widowControl w:val="0"/>
        <w:numPr>
          <w:ilvl w:val="0"/>
          <w:numId w:val="4"/>
        </w:numPr>
        <w:tabs>
          <w:tab w:val="left" w:pos="851"/>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 w:val="21"/>
          <w:szCs w:val="21"/>
        </w:rPr>
      </w:pPr>
      <w:r>
        <w:rPr>
          <w:rFonts w:hint="eastAsia" w:ascii="楷体" w:hAnsi="楷体" w:eastAsia="楷体" w:cs="Calibri"/>
          <w:sz w:val="21"/>
          <w:szCs w:val="21"/>
          <w:lang w:val="en-US" w:eastAsia="zh-CN"/>
        </w:rPr>
        <w:t>流动性受限资产：</w:t>
      </w:r>
      <w:r>
        <w:rPr>
          <w:rFonts w:hint="eastAsia" w:ascii="楷体" w:hAnsi="楷体" w:eastAsia="楷体" w:cs="Calibri"/>
          <w:kern w:val="2"/>
          <w:sz w:val="21"/>
          <w:szCs w:val="21"/>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keepNext w:val="0"/>
        <w:keepLines w:val="0"/>
        <w:pageBreakBefore w:val="0"/>
        <w:widowControl w:val="0"/>
        <w:numPr>
          <w:ilvl w:val="0"/>
          <w:numId w:val="4"/>
        </w:numPr>
        <w:tabs>
          <w:tab w:val="left" w:pos="851"/>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kern w:val="2"/>
          <w:sz w:val="21"/>
          <w:szCs w:val="21"/>
        </w:rPr>
        <w:t>7个工作日可变现资产</w:t>
      </w:r>
      <w:r>
        <w:rPr>
          <w:rFonts w:hint="eastAsia" w:ascii="楷体" w:hAnsi="楷体" w:eastAsia="楷体" w:cs="Calibri"/>
          <w:kern w:val="2"/>
          <w:sz w:val="21"/>
          <w:szCs w:val="21"/>
          <w:lang w:eastAsia="zh-CN"/>
        </w:rPr>
        <w:t>：</w:t>
      </w:r>
      <w:r>
        <w:rPr>
          <w:rFonts w:hint="eastAsia" w:ascii="楷体" w:hAnsi="楷体" w:eastAsia="楷体" w:cs="Calibri"/>
          <w:kern w:val="2"/>
          <w:sz w:val="21"/>
          <w:szCs w:val="21"/>
        </w:rPr>
        <w:t>包括可在交易所、银行间市场正常交易的股票、债券、非金融企业债务融资工具、期货及期权合约以及同业存单，7个工作日内到期或可支取的买入返售、银行存款，7个工作日内能够确认收到的各类应收款项等。</w:t>
      </w:r>
    </w:p>
    <w:p>
      <w:pPr>
        <w:keepNext w:val="0"/>
        <w:keepLines w:val="0"/>
        <w:pageBreakBefore w:val="0"/>
        <w:widowControl w:val="0"/>
        <w:numPr>
          <w:ilvl w:val="0"/>
          <w:numId w:val="3"/>
        </w:numPr>
        <w:tabs>
          <w:tab w:val="left" w:pos="993"/>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color w:val="auto"/>
          <w:sz w:val="21"/>
          <w:szCs w:val="21"/>
        </w:rPr>
      </w:pPr>
      <w:r>
        <w:rPr>
          <w:rFonts w:hint="eastAsia" w:ascii="楷体" w:hAnsi="楷体" w:eastAsia="楷体" w:cs="Calibri"/>
          <w:color w:val="auto"/>
          <w:sz w:val="21"/>
          <w:szCs w:val="21"/>
        </w:rPr>
        <w:t>期间与日期</w:t>
      </w:r>
    </w:p>
    <w:p>
      <w:pPr>
        <w:keepNext w:val="0"/>
        <w:keepLines w:val="0"/>
        <w:pageBreakBefore w:val="0"/>
        <w:widowControl w:val="0"/>
        <w:numPr>
          <w:ilvl w:val="0"/>
          <w:numId w:val="5"/>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工作日：</w:t>
      </w:r>
      <w:r>
        <w:rPr>
          <w:rFonts w:hint="eastAsia" w:ascii="楷体" w:hAnsi="楷体" w:eastAsia="楷体" w:cs="楷体"/>
          <w:color w:val="auto"/>
          <w:sz w:val="21"/>
          <w:szCs w:val="21"/>
          <w:highlight w:val="none"/>
        </w:rPr>
        <w:t>指国家法定工作日。</w:t>
      </w:r>
    </w:p>
    <w:p>
      <w:pPr>
        <w:keepNext w:val="0"/>
        <w:keepLines w:val="0"/>
        <w:pageBreakBefore w:val="0"/>
        <w:widowControl w:val="0"/>
        <w:numPr>
          <w:ilvl w:val="0"/>
          <w:numId w:val="5"/>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交易日：指上海证券交易所和深圳证券交易所的正常开盘交易日。</w:t>
      </w:r>
    </w:p>
    <w:p>
      <w:pPr>
        <w:keepNext w:val="0"/>
        <w:keepLines w:val="0"/>
        <w:pageBreakBefore w:val="0"/>
        <w:widowControl w:val="0"/>
        <w:numPr>
          <w:ilvl w:val="0"/>
          <w:numId w:val="5"/>
        </w:numPr>
        <w:tabs>
          <w:tab w:val="left" w:pos="728"/>
          <w:tab w:val="clear" w:pos="420"/>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份额登记日/份额确认日：指管理人对投资者提交的</w:t>
      </w:r>
      <w:r>
        <w:rPr>
          <w:rFonts w:hint="eastAsia" w:ascii="楷体" w:hAnsi="楷体" w:eastAsia="楷体" w:cs="楷体"/>
          <w:color w:val="auto"/>
          <w:sz w:val="21"/>
          <w:szCs w:val="21"/>
          <w:lang w:val="en-US" w:eastAsia="zh-CN"/>
        </w:rPr>
        <w:t>购买</w:t>
      </w:r>
      <w:r>
        <w:rPr>
          <w:rFonts w:hint="eastAsia" w:ascii="楷体" w:hAnsi="楷体" w:eastAsia="楷体" w:cs="楷体"/>
          <w:color w:val="auto"/>
          <w:sz w:val="21"/>
          <w:szCs w:val="21"/>
        </w:rPr>
        <w:t>申请进行份额登记的日期。</w:t>
      </w:r>
    </w:p>
    <w:p>
      <w:pPr>
        <w:keepNext w:val="0"/>
        <w:keepLines w:val="0"/>
        <w:pageBreakBefore w:val="0"/>
        <w:numPr>
          <w:ilvl w:val="0"/>
          <w:numId w:val="5"/>
        </w:numPr>
        <w:tabs>
          <w:tab w:val="left" w:pos="728"/>
          <w:tab w:val="clear" w:pos="420"/>
        </w:tabs>
        <w:wordWrap/>
        <w:topLinePunct w:val="0"/>
        <w:autoSpaceDE/>
        <w:autoSpaceDN/>
        <w:bidi w:val="0"/>
        <w:ind w:left="0" w:leftChars="0" w:firstLine="420" w:firstLineChars="200"/>
        <w:textAlignment w:val="auto"/>
        <w:rPr>
          <w:rFonts w:hint="eastAsia" w:ascii="楷体" w:hAnsi="楷体" w:eastAsia="楷体" w:cs="楷体"/>
        </w:rPr>
      </w:pPr>
      <w:r>
        <w:rPr>
          <w:rFonts w:hint="eastAsia" w:ascii="楷体" w:hAnsi="楷体" w:eastAsia="楷体" w:cs="楷体"/>
          <w:color w:val="auto"/>
          <w:sz w:val="21"/>
          <w:szCs w:val="21"/>
        </w:rPr>
        <w:t>产品存续期：指自理财产品成立日起，至理财产品终止日的期间。</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投资管理</w:t>
      </w:r>
    </w:p>
    <w:p>
      <w:pPr>
        <w:keepNext w:val="0"/>
        <w:keepLines w:val="0"/>
        <w:pageBreakBefore w:val="0"/>
        <w:numPr>
          <w:ilvl w:val="0"/>
          <w:numId w:val="6"/>
        </w:numPr>
        <w:tabs>
          <w:tab w:val="left" w:pos="993"/>
        </w:tabs>
        <w:wordWrap/>
        <w:topLinePunct w:val="0"/>
        <w:autoSpaceDE/>
        <w:autoSpaceDN/>
        <w:bidi w:val="0"/>
        <w:ind w:left="0" w:firstLine="420" w:firstLineChars="200"/>
        <w:textAlignment w:val="auto"/>
        <w:outlineLvl w:val="1"/>
        <w:rPr>
          <w:rFonts w:hint="eastAsia" w:ascii="楷体" w:hAnsi="楷体" w:eastAsia="楷体" w:cs="Calibri"/>
          <w:b/>
          <w:szCs w:val="21"/>
        </w:rPr>
      </w:pPr>
      <w:r>
        <w:rPr>
          <w:rFonts w:hint="eastAsia" w:ascii="楷体" w:hAnsi="楷体" w:eastAsia="楷体" w:cs="Calibri"/>
          <w:b w:val="0"/>
          <w:bCs/>
          <w:szCs w:val="21"/>
        </w:rPr>
        <w:t>投资范围和比例</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本理财产品将募集资金100%投资于法律法规及银行业监督管理机构允许投资的金融工具，包括现金；期限在一年以内（含一年）的银行存款、债券回购、中央银行票据、同业存单；剩余期限在</w:t>
      </w:r>
      <w:r>
        <w:rPr>
          <w:rFonts w:ascii="楷体" w:hAnsi="楷体" w:eastAsia="楷体"/>
          <w:szCs w:val="21"/>
        </w:rPr>
        <w:t>397天以内（含397天）的债券、</w:t>
      </w:r>
      <w:r>
        <w:rPr>
          <w:rFonts w:hint="eastAsia" w:ascii="楷体" w:hAnsi="楷体" w:eastAsia="楷体"/>
          <w:szCs w:val="21"/>
        </w:rPr>
        <w:t>在银行间市场和证券交易所市场发行的资产支持证券，以及银行业监督管理机构认可的其他具有良好流动性的货币市场工具。管理人可直接或间接通过各类资管计划投资于上述资产。</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非因管理人主观因素导致突破前述比例限制的，管理人将在流动性受限资产可出售、可转让或者恢复交易的</w:t>
      </w:r>
      <w:r>
        <w:rPr>
          <w:rFonts w:ascii="楷体" w:hAnsi="楷体" w:eastAsia="楷体"/>
          <w:szCs w:val="21"/>
        </w:rPr>
        <w:t>15个交易日</w:t>
      </w:r>
      <w:r>
        <w:rPr>
          <w:rFonts w:hint="eastAsia" w:ascii="楷体" w:hAnsi="楷体" w:eastAsia="楷体"/>
          <w:szCs w:val="21"/>
        </w:rPr>
        <w:t>内调整至符合相关要求。相关法律法规和监管部门对以上投资范围和配置比例有另行规定的，按照监管最新规定执行。</w:t>
      </w:r>
    </w:p>
    <w:p>
      <w:pPr>
        <w:keepNext w:val="0"/>
        <w:keepLines w:val="0"/>
        <w:pageBreakBefore w:val="0"/>
        <w:numPr>
          <w:ilvl w:val="0"/>
          <w:numId w:val="6"/>
        </w:numPr>
        <w:tabs>
          <w:tab w:val="left" w:pos="993"/>
        </w:tabs>
        <w:wordWrap/>
        <w:topLinePunct w:val="0"/>
        <w:autoSpaceDE/>
        <w:autoSpaceDN/>
        <w:bidi w:val="0"/>
        <w:ind w:left="0" w:firstLine="420" w:firstLineChars="200"/>
        <w:textAlignment w:val="auto"/>
        <w:outlineLvl w:val="1"/>
        <w:rPr>
          <w:rFonts w:hint="default" w:ascii="楷体" w:hAnsi="楷体" w:eastAsia="楷体" w:cs="Calibri"/>
          <w:b w:val="0"/>
          <w:bCs/>
          <w:szCs w:val="21"/>
          <w:lang w:val="en-US" w:eastAsia="zh-CN"/>
        </w:rPr>
      </w:pPr>
      <w:r>
        <w:rPr>
          <w:rFonts w:hint="eastAsia" w:ascii="楷体" w:hAnsi="楷体" w:eastAsia="楷体" w:cs="Calibri"/>
          <w:b w:val="0"/>
          <w:bCs/>
          <w:szCs w:val="21"/>
          <w:lang w:val="en-US" w:eastAsia="zh-CN"/>
        </w:rPr>
        <w:t>投资合作机构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投资合作机构主要职责是对理财产品受托资金进行投资管理，管理人已按投资决策流程对投资合作机构进行了准入，并持续开展投资合作机构的存续期管理。本产品投资合作机构包括：</w:t>
      </w:r>
    </w:p>
    <w:p>
      <w:pPr>
        <w:keepNext w:val="0"/>
        <w:keepLines w:val="0"/>
        <w:pageBreakBefore w:val="0"/>
        <w:widowControl w:val="0"/>
        <w:numPr>
          <w:ilvl w:val="0"/>
          <w:numId w:val="7"/>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华润深国投信托有限公司：华润信托于1982年8月24日成立，原名为深圳市信托投资公司，注册资本人民币5,813万元。目前，公司注册资本人民币110亿元，华润金控投资有限公司持有公司51%股权，深圳市投资控股有限公司持有公司49%股权。</w:t>
      </w:r>
    </w:p>
    <w:p>
      <w:pPr>
        <w:keepNext w:val="0"/>
        <w:keepLines w:val="0"/>
        <w:pageBreakBefore w:val="0"/>
        <w:widowControl w:val="0"/>
        <w:numPr>
          <w:ilvl w:val="0"/>
          <w:numId w:val="7"/>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中粮信托有限责任公司：中粮信托有限责任公司成立于2009年7月27日，是中国银行保险监督管理委员会核准的国有控股金融机构，注册资本28.3095亿元，前三大股东分别为中粮资本投资有限公司、蒙特利尔银行、中粮财务有限责任公司。</w:t>
      </w:r>
    </w:p>
    <w:p>
      <w:pPr>
        <w:keepNext w:val="0"/>
        <w:keepLines w:val="0"/>
        <w:pageBreakBefore w:val="0"/>
        <w:widowControl w:val="0"/>
        <w:numPr>
          <w:ilvl w:val="0"/>
          <w:numId w:val="7"/>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val="en-US" w:eastAsia="zh-CN"/>
        </w:rPr>
        <w:t>创金合信基金管理有限公司：创金合信基金管理有限公司成立于2014年7月9日，由第一创业证券股份有限公司、深圳市金合信投资合伙企业（有限合伙）共同发起设立，注册地为深圳。</w:t>
      </w:r>
    </w:p>
    <w:p>
      <w:pPr>
        <w:keepNext w:val="0"/>
        <w:keepLines w:val="0"/>
        <w:pageBreakBefore w:val="0"/>
        <w:widowControl w:val="0"/>
        <w:numPr>
          <w:ilvl w:val="0"/>
          <w:numId w:val="7"/>
        </w:numPr>
        <w:tabs>
          <w:tab w:val="clear" w:pos="0"/>
        </w:tabs>
        <w:kinsoku/>
        <w:wordWrap/>
        <w:overflowPunct/>
        <w:topLinePunct w:val="0"/>
        <w:autoSpaceDE/>
        <w:autoSpaceDN/>
        <w:bidi w:val="0"/>
        <w:adjustRightInd/>
        <w:snapToGrid/>
        <w:ind w:left="0" w:leftChars="0" w:firstLine="420" w:firstLineChars="200"/>
        <w:textAlignment w:val="auto"/>
        <w:rPr>
          <w:rFonts w:hint="eastAsia" w:ascii="楷体" w:hAnsi="楷体" w:eastAsia="楷体"/>
          <w:sz w:val="21"/>
          <w:szCs w:val="21"/>
          <w:highlight w:val="none"/>
          <w:lang w:eastAsia="zh-CN"/>
        </w:rPr>
      </w:pPr>
      <w:r>
        <w:rPr>
          <w:rFonts w:hint="eastAsia" w:ascii="楷体" w:hAnsi="楷体" w:eastAsia="楷体"/>
          <w:sz w:val="21"/>
          <w:szCs w:val="21"/>
          <w:highlight w:val="none"/>
          <w:lang w:eastAsia="zh-CN"/>
        </w:rPr>
        <w:t>广发期货有限公司：广发期货有限公司于1993年3月成立，注册资本20亿元，为广发证券股份有限公司全资子公司，公司于2012年11月获得资产管理业务牌照，是首批获得期货公司资产管理牌照的公司。十余年间管理产品160余只，累计管理规模近300亿元，公司近三年证监会分类评级均为A类AA级，整体资质较好。</w:t>
      </w:r>
    </w:p>
    <w:p>
      <w:pPr>
        <w:keepNext w:val="0"/>
        <w:keepLines w:val="0"/>
        <w:pageBreakBefore w:val="0"/>
        <w:widowControl w:val="0"/>
        <w:numPr>
          <w:ilvl w:val="0"/>
          <w:numId w:val="7"/>
        </w:numPr>
        <w:tabs>
          <w:tab w:val="clear" w:pos="0"/>
        </w:tabs>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ascii="楷体" w:hAnsi="楷体" w:eastAsia="楷体"/>
          <w:sz w:val="21"/>
          <w:szCs w:val="21"/>
          <w:highlight w:val="none"/>
          <w:lang w:val="en-US" w:eastAsia="zh-CN"/>
        </w:rPr>
        <w:t>招商证券资产管理有限公司：招商证券资产管理有限公司，简称“招商资管”，经中国证券监督管理委员会批准于2015年4月成立。招商资管是招商证券股份有限公司全资子公司，注册资本10亿元，业务范围为证券资产管理业务。招商资管作为招商证券股份有限公司100%控股的资管子公司，前身是招商证券资产管理总部，是国内最早获得受托资产管理、创新试点、QDII资格的券商资产管理之一。</w:t>
      </w:r>
    </w:p>
    <w:p>
      <w:pPr>
        <w:keepNext w:val="0"/>
        <w:keepLines w:val="0"/>
        <w:pageBreakBefore w:val="0"/>
        <w:widowControl w:val="0"/>
        <w:numPr>
          <w:ilvl w:val="0"/>
          <w:numId w:val="7"/>
        </w:numPr>
        <w:tabs>
          <w:tab w:val="clear" w:pos="0"/>
        </w:tabs>
        <w:kinsoku/>
        <w:wordWrap/>
        <w:overflowPunct/>
        <w:topLinePunct w:val="0"/>
        <w:autoSpaceDE/>
        <w:autoSpaceDN/>
        <w:bidi w:val="0"/>
        <w:adjustRightInd/>
        <w:snapToGrid/>
        <w:ind w:left="0" w:leftChars="0" w:firstLine="420" w:firstLineChars="200"/>
        <w:textAlignment w:val="auto"/>
        <w:rPr>
          <w:rFonts w:hint="eastAsia"/>
          <w:lang w:eastAsia="zh-CN"/>
        </w:rPr>
      </w:pPr>
      <w:r>
        <w:rPr>
          <w:rFonts w:hint="eastAsia" w:ascii="楷体" w:hAnsi="楷体" w:eastAsia="楷体"/>
          <w:sz w:val="21"/>
          <w:szCs w:val="21"/>
          <w:highlight w:val="none"/>
          <w:lang w:val="en-US" w:eastAsia="zh-CN"/>
        </w:rPr>
        <w:t>苏豪弘业期货股份有限公司：苏豪弘业期货股份有限公司成立于1995年，隶属于江苏省国资委全资拥有的国有企业江苏省苏豪控股集团有限公司。公司经营范围涵盖商品期货经纪、金融期货经纪、期货投资咨询、资产管理、基金销售业务。</w:t>
      </w:r>
    </w:p>
    <w:p>
      <w:pPr>
        <w:keepNext w:val="0"/>
        <w:keepLines w:val="0"/>
        <w:pageBreakBefore w:val="0"/>
        <w:numPr>
          <w:ilvl w:val="0"/>
          <w:numId w:val="6"/>
        </w:numPr>
        <w:tabs>
          <w:tab w:val="left" w:pos="993"/>
        </w:tabs>
        <w:wordWrap/>
        <w:topLinePunct w:val="0"/>
        <w:autoSpaceDE/>
        <w:autoSpaceDN/>
        <w:bidi w:val="0"/>
        <w:ind w:left="0" w:firstLine="420" w:firstLineChars="200"/>
        <w:textAlignment w:val="auto"/>
        <w:outlineLvl w:val="1"/>
        <w:rPr>
          <w:rFonts w:hint="eastAsia" w:ascii="楷体" w:hAnsi="楷体" w:eastAsia="楷体" w:cs="Calibri"/>
          <w:b/>
          <w:szCs w:val="21"/>
        </w:rPr>
      </w:pPr>
      <w:r>
        <w:rPr>
          <w:rFonts w:hint="eastAsia" w:ascii="楷体" w:hAnsi="楷体" w:eastAsia="楷体" w:cs="Calibri"/>
          <w:b w:val="0"/>
          <w:bCs/>
          <w:szCs w:val="21"/>
        </w:rPr>
        <w:t>投资限制</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ascii="楷体" w:hAnsi="楷体" w:eastAsia="楷体" w:cs="Calibri"/>
          <w:b/>
          <w:szCs w:val="21"/>
          <w:u w:val="single"/>
        </w:rPr>
        <w:t>1</w:t>
      </w:r>
      <w:r>
        <w:rPr>
          <w:rFonts w:hint="eastAsia" w:ascii="楷体" w:hAnsi="楷体" w:eastAsia="楷体" w:cs="Calibri"/>
          <w:b/>
          <w:szCs w:val="21"/>
          <w:u w:val="single"/>
        </w:rPr>
        <w:t>.本理财产品的投资集中度要求如下：</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楷体"/>
          <w:szCs w:val="21"/>
        </w:rPr>
        <w:t>（1）</w:t>
      </w:r>
      <w:r>
        <w:rPr>
          <w:rFonts w:hint="eastAsia" w:ascii="楷体" w:hAnsi="楷体" w:eastAsia="楷体" w:cs="Calibri"/>
          <w:szCs w:val="21"/>
        </w:rPr>
        <w:t>本产品投资于单只证券或单只公募证券投资基金的市值不超过本产品净资产的10%。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w:t>
      </w:r>
      <w:r>
        <w:rPr>
          <w:rFonts w:hint="eastAsia" w:ascii="楷体" w:hAnsi="楷体" w:eastAsia="楷体"/>
          <w:szCs w:val="21"/>
        </w:rPr>
        <w:t>管理人发行的全部公募理财产品投资单只证券或者单只公募证券投资基金的市值不得超过该证券市值或者公募证券投资基金市值的30%。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（3）本产品投资于同一机构发行的债券及其作为原始权益人的资产支持证券的比例合计不得超过本理财产品资产净值的10%，投资于国债、中央银行票据、政策性金融债券的除外。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4）本产品投资于所有主体信用评级低于AAA的机构发行的金融工具的比例合计不得超过本理财产品资产净值的10%，其中单一机构发行的金融工具的比例合计不得超过本理财产品资产净值的2%；本款所称金融工具包括债券、银行存款、同业存单、相关机构作为原始权益人的资产支持证券及监管机构认可的其他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5）本产品投资于有固定期限银行存款的比例合计不得超过本理财产品资产净值的30%，投资于有存款期限，根据协议可提前支取的银行存款除外；本理财产品投资于主体信用评级为AAA的同一商业银行的银行存款、同业存单占本理财产品资产净值的比例合计不得超过20%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（6）管理人管理的全部现金管理类产品投资于同一商业银行的存款、同业存单和债券，不得超过该商业银行最近一个季度末净资产的10%。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因非管理人主观因素致使不符合上述第（1）项、第（2）项比例限制的，管理人将在流动性受限资产可出售、可转让或者恢复交易的10个交易日内调整至符合相关要求。</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因非管理人主观因素导致突破上述第（3）项至第（6）项比例限制的，管理人应当在10个交易日内调整至符合要求，监管机构规定的特殊情形除外。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本理财产品拟投资于主体信用评级低于AA＋的商业银行的银行存款与同业存单的，应当经管理人董事会审议批准，相关交易应当事先告知托管人，并作为重大事项履行信息披露程序。</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ascii="楷体" w:hAnsi="楷体" w:eastAsia="楷体" w:cs="Calibri"/>
          <w:b/>
          <w:szCs w:val="21"/>
          <w:u w:val="single"/>
        </w:rPr>
        <w:t>2</w:t>
      </w:r>
      <w:r>
        <w:rPr>
          <w:rFonts w:hint="eastAsia" w:ascii="楷体" w:hAnsi="楷体" w:eastAsia="楷体" w:cs="Calibri"/>
          <w:b/>
          <w:szCs w:val="21"/>
          <w:u w:val="single"/>
        </w:rPr>
        <w:t>.本理财产品不得投资以下金融工具：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（1）股票；</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（2）可转换债券、可交换债券；</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（3）以定期存款利率为基准利率的浮动利率债券，已进入最后一个利率调整期的除外；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（4）信用等级在AA＋以下的债券、资产支持证券；</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（5）</w:t>
      </w:r>
      <w:r>
        <w:rPr>
          <w:rFonts w:hint="eastAsia" w:ascii="楷体" w:hAnsi="楷体" w:eastAsia="楷体"/>
          <w:szCs w:val="21"/>
        </w:rPr>
        <w:t>金融监管总局</w:t>
      </w:r>
      <w:r>
        <w:rPr>
          <w:rFonts w:hint="eastAsia" w:ascii="楷体" w:hAnsi="楷体" w:eastAsia="楷体" w:cs="Calibri"/>
          <w:szCs w:val="21"/>
        </w:rPr>
        <w:t>、中国人民银行禁止投资的其他金融工具。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前述债券的信用等级应当主要参照最近一个会计年度的主体信用评级，如果对发行人同时有两家以上境内评级机构评级的，应当选择使用评级较低、违约概率较大的外部评级结果，并结合管理人内部评级进行独立判断和认定。</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ascii="楷体" w:hAnsi="楷体" w:eastAsia="楷体" w:cs="Calibri"/>
          <w:b/>
          <w:szCs w:val="21"/>
          <w:u w:val="single"/>
        </w:rPr>
        <w:t>3</w:t>
      </w:r>
      <w:r>
        <w:rPr>
          <w:rFonts w:hint="eastAsia" w:ascii="楷体" w:hAnsi="楷体" w:eastAsia="楷体" w:cs="Calibri"/>
          <w:b/>
          <w:szCs w:val="21"/>
          <w:u w:val="single"/>
        </w:rPr>
        <w:t>.本产品应当确保持有足够的具有良好流动性的资产，并符合以下要求：</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（1）本产品持有不低于本理财产品资产净值5%的现金、国债、中央银行票据、政策性金融债券。</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（2）本产品持有不低于本理财产品资产净值10%的现金、国债、中央银行票据、政策性金融债券以及五个交易日内到期的其他金融工具。</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3）本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该产品资产净值的10%。</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w:t>
      </w:r>
      <w:r>
        <w:rPr>
          <w:rFonts w:ascii="楷体" w:hAnsi="楷体" w:eastAsia="楷体" w:cs="Calibri"/>
          <w:szCs w:val="21"/>
        </w:rPr>
        <w:t>4）本产品的杠杆水平不得超过120%，发生巨额赎回、连续3个交易日累计赎回20%以上或者连续5个交易日累计赎回30%以上的情形除外。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因非管理人主观因素导致突破上述第（</w:t>
      </w:r>
      <w:r>
        <w:rPr>
          <w:rFonts w:ascii="楷体" w:hAnsi="楷体" w:eastAsia="楷体" w:cs="Calibri"/>
          <w:szCs w:val="21"/>
        </w:rPr>
        <w:t>2）项、第（4）项比例限制的，</w:t>
      </w:r>
      <w:r>
        <w:rPr>
          <w:rFonts w:hint="eastAsia" w:ascii="楷体" w:hAnsi="楷体" w:eastAsia="楷体" w:cs="Calibri"/>
          <w:szCs w:val="21"/>
        </w:rPr>
        <w:t>管理人应当在</w:t>
      </w:r>
      <w:r>
        <w:rPr>
          <w:rFonts w:ascii="楷体" w:hAnsi="楷体" w:eastAsia="楷体" w:cs="Calibri"/>
          <w:szCs w:val="21"/>
        </w:rPr>
        <w:t>10个交易日</w:t>
      </w:r>
      <w:r>
        <w:rPr>
          <w:rFonts w:hint="eastAsia" w:ascii="楷体" w:hAnsi="楷体" w:eastAsia="楷体" w:cs="Calibri"/>
          <w:szCs w:val="21"/>
        </w:rPr>
        <w:t>内调整至符合要求；因非管理人主观因素导致突破上述第（3）项比例限制的，管理人不得主动新增流动性受限资产的投资。</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b/>
          <w:szCs w:val="21"/>
          <w:u w:val="single"/>
        </w:rPr>
      </w:pPr>
      <w:r>
        <w:rPr>
          <w:rFonts w:hint="eastAsia" w:ascii="楷体" w:hAnsi="楷体" w:eastAsia="楷体" w:cs="Calibri"/>
          <w:b/>
          <w:szCs w:val="21"/>
          <w:u w:val="single"/>
        </w:rPr>
        <w:t>4</w:t>
      </w:r>
      <w:r>
        <w:rPr>
          <w:rFonts w:ascii="楷体" w:hAnsi="楷体" w:eastAsia="楷体" w:cs="Calibri"/>
          <w:b/>
          <w:szCs w:val="21"/>
          <w:u w:val="single"/>
        </w:rPr>
        <w:t>.</w:t>
      </w:r>
      <w:r>
        <w:rPr>
          <w:rFonts w:hint="eastAsia" w:ascii="楷体" w:hAnsi="楷体" w:eastAsia="楷体" w:cs="Calibri"/>
          <w:b/>
          <w:szCs w:val="21"/>
          <w:u w:val="single"/>
        </w:rPr>
        <w:t>在开放日前一工作日内，本理财产品</w:t>
      </w:r>
      <w:r>
        <w:rPr>
          <w:rFonts w:ascii="楷体" w:hAnsi="楷体" w:eastAsia="楷体" w:cs="Calibri"/>
          <w:b/>
          <w:szCs w:val="21"/>
          <w:u w:val="single"/>
        </w:rPr>
        <w:t>7个工作日可变现资产的可变现价</w:t>
      </w:r>
      <w:r>
        <w:rPr>
          <w:rFonts w:hint="eastAsia" w:ascii="楷体" w:hAnsi="楷体" w:eastAsia="楷体" w:cs="Calibri"/>
          <w:b/>
          <w:szCs w:val="21"/>
          <w:u w:val="single"/>
        </w:rPr>
        <w:t>值应当不低于本产品净资产的</w:t>
      </w:r>
      <w:r>
        <w:rPr>
          <w:rFonts w:ascii="楷体" w:hAnsi="楷体" w:eastAsia="楷体" w:cs="Calibri"/>
          <w:b/>
          <w:szCs w:val="21"/>
          <w:u w:val="single"/>
        </w:rPr>
        <w:t>10%。</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szCs w:val="21"/>
        </w:rPr>
      </w:pPr>
      <w:r>
        <w:rPr>
          <w:rFonts w:hint="eastAsia" w:ascii="楷体" w:hAnsi="楷体" w:eastAsia="楷体" w:cs="Calibri"/>
          <w:b/>
          <w:szCs w:val="21"/>
          <w:u w:val="single"/>
        </w:rPr>
        <w:t>5.本理财产品投资组合的平均剩余期限不得超过</w:t>
      </w:r>
      <w:r>
        <w:rPr>
          <w:rFonts w:ascii="楷体" w:hAnsi="楷体" w:eastAsia="楷体" w:cs="Calibri"/>
          <w:b/>
          <w:szCs w:val="21"/>
          <w:u w:val="single"/>
        </w:rPr>
        <w:t>120天，平均剩余存续期限不得超过240</w:t>
      </w:r>
      <w:r>
        <w:rPr>
          <w:rFonts w:hint="eastAsia" w:ascii="楷体" w:hAnsi="楷体" w:eastAsia="楷体" w:cs="Calibri"/>
          <w:b/>
          <w:szCs w:val="21"/>
          <w:u w:val="single"/>
        </w:rPr>
        <w:t>天。</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w:t>
      </w:r>
      <w:r>
        <w:rPr>
          <w:rFonts w:hint="eastAsia" w:ascii="楷体" w:hAnsi="楷体" w:eastAsia="楷体" w:cs="Calibri"/>
          <w:b/>
          <w:szCs w:val="21"/>
        </w:rPr>
        <w:t>投资组合平均剩余期限</w:t>
      </w:r>
      <w:r>
        <w:rPr>
          <w:rFonts w:hint="eastAsia" w:ascii="楷体" w:hAnsi="楷体" w:eastAsia="楷体" w:cs="Calibri"/>
          <w:szCs w:val="21"/>
        </w:rPr>
        <w:t>的计算公式为：</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（∑本理财产品的资产×剩余期限—∑本理财产品的负债×剩余期限＋债券卖出回购×剩余期限）/（本理财产品的资产—本理财产品的负债＋债券卖出回购）</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w:t>
      </w:r>
      <w:r>
        <w:rPr>
          <w:rFonts w:hint="eastAsia" w:ascii="楷体" w:hAnsi="楷体" w:eastAsia="楷体" w:cs="Calibri"/>
          <w:b/>
          <w:szCs w:val="21"/>
        </w:rPr>
        <w:t>投资组合平均剩余存续期限</w:t>
      </w:r>
      <w:r>
        <w:rPr>
          <w:rFonts w:hint="eastAsia" w:ascii="楷体" w:hAnsi="楷体" w:eastAsia="楷体" w:cs="Calibri"/>
          <w:szCs w:val="21"/>
        </w:rPr>
        <w:t>的计算公式为：</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（∑本理财产品的资产×剩余存续期限—∑本理财产品的负债×剩余存续期限＋债券卖出回购×剩余存续期限）/（本理财产品的资产—本理财产品的负债＋债券卖出回购）</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投资组合中债券的剩余期限和剩余存续期限是指计算日至债券到期日为止所剩余的天数，以下情况除外：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允许投资的可变利率或者浮动利率债券的剩余期限以计算日至下一个利率调整日的实际剩余天数计算。</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允许投资的可变利率或者浮动利率债券的剩余存续期限以计算日至债券到期日的实际剩余天数计算。</w:t>
      </w:r>
    </w:p>
    <w:p>
      <w:pPr>
        <w:keepNext w:val="0"/>
        <w:keepLines w:val="0"/>
        <w:pageBreakBefore w:val="0"/>
        <w:wordWrap/>
        <w:topLinePunct w:val="0"/>
        <w:autoSpaceDE/>
        <w:autoSpaceDN/>
        <w:bidi w:val="0"/>
        <w:ind w:firstLine="422" w:firstLineChars="200"/>
        <w:textAlignment w:val="auto"/>
        <w:rPr>
          <w:rFonts w:hint="eastAsia" w:ascii="楷体" w:hAnsi="楷体" w:eastAsia="楷体" w:cs="Calibri"/>
          <w:szCs w:val="21"/>
        </w:rPr>
      </w:pPr>
      <w:r>
        <w:rPr>
          <w:rFonts w:hint="eastAsia" w:ascii="楷体" w:hAnsi="楷体" w:eastAsia="楷体" w:cs="Calibri"/>
          <w:b/>
          <w:szCs w:val="21"/>
          <w:u w:val="single"/>
        </w:rPr>
        <w:t>6</w:t>
      </w:r>
      <w:r>
        <w:rPr>
          <w:rFonts w:ascii="楷体" w:hAnsi="楷体" w:eastAsia="楷体" w:cs="Calibri"/>
          <w:b/>
          <w:szCs w:val="21"/>
          <w:u w:val="single"/>
        </w:rPr>
        <w:t>.</w:t>
      </w:r>
      <w:r>
        <w:rPr>
          <w:rFonts w:hint="eastAsia" w:ascii="楷体" w:hAnsi="楷体" w:eastAsia="楷体" w:cs="Calibri"/>
          <w:b/>
          <w:szCs w:val="21"/>
          <w:u w:val="single"/>
        </w:rPr>
        <w:t>管理人应根据投资者集中度情况对投资组合实施调整，并遵守以下要求</w:t>
      </w:r>
      <w:r>
        <w:rPr>
          <w:rFonts w:hint="eastAsia" w:ascii="楷体" w:hAnsi="楷体" w:eastAsia="楷体" w:cs="Calibri"/>
          <w:szCs w:val="21"/>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（1）当前1</w:t>
      </w:r>
      <w:r>
        <w:rPr>
          <w:rFonts w:ascii="楷体" w:hAnsi="楷体" w:eastAsia="楷体" w:cs="Calibri"/>
          <w:szCs w:val="21"/>
        </w:rPr>
        <w:t>0</w:t>
      </w:r>
      <w:r>
        <w:rPr>
          <w:rFonts w:hint="eastAsia" w:ascii="楷体" w:hAnsi="楷体" w:eastAsia="楷体" w:cs="Calibri"/>
          <w:szCs w:val="21"/>
        </w:rPr>
        <w:t>名投资者的持有份额合计超过本理财产品总份额的</w:t>
      </w:r>
      <w:r>
        <w:rPr>
          <w:rFonts w:ascii="楷体" w:hAnsi="楷体" w:eastAsia="楷体" w:cs="Calibri"/>
          <w:b/>
          <w:szCs w:val="21"/>
          <w:u w:val="single"/>
        </w:rPr>
        <w:t>50%</w:t>
      </w:r>
      <w:r>
        <w:rPr>
          <w:rFonts w:hint="eastAsia" w:ascii="楷体" w:hAnsi="楷体" w:eastAsia="楷体" w:cs="Calibri"/>
          <w:szCs w:val="21"/>
        </w:rPr>
        <w:t>时，投资组合的平均剩余期限不得超过60天，平均剩余存续期限不得超过120天，投资组合中现金、国债、中央银行票据、政策性金融债券以及5个交易日内到期的其他金融工具占本理财产品资产净值的</w:t>
      </w:r>
      <w:r>
        <w:rPr>
          <w:rFonts w:hint="eastAsia" w:ascii="楷体" w:hAnsi="楷体" w:eastAsia="楷体" w:cs="Calibri"/>
          <w:b/>
          <w:szCs w:val="21"/>
          <w:u w:val="single"/>
        </w:rPr>
        <w:t>比例合计不得低于</w:t>
      </w:r>
      <w:r>
        <w:rPr>
          <w:rFonts w:ascii="楷体" w:hAnsi="楷体" w:eastAsia="楷体" w:cs="Calibri"/>
          <w:b/>
          <w:szCs w:val="21"/>
          <w:u w:val="single"/>
        </w:rPr>
        <w:t>30%</w:t>
      </w:r>
      <w:r>
        <w:rPr>
          <w:rFonts w:hint="eastAsia" w:ascii="楷体" w:hAnsi="楷体" w:eastAsia="楷体" w:cs="Calibri"/>
          <w:szCs w:val="21"/>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（2）当前10名投资者的持有份额合计超过本理财产品总份额的</w:t>
      </w:r>
      <w:r>
        <w:rPr>
          <w:rFonts w:ascii="楷体" w:hAnsi="楷体" w:eastAsia="楷体" w:cs="Calibri"/>
          <w:b/>
          <w:szCs w:val="21"/>
          <w:u w:val="single"/>
        </w:rPr>
        <w:t>20%</w:t>
      </w:r>
      <w:r>
        <w:rPr>
          <w:rFonts w:hint="eastAsia" w:ascii="楷体" w:hAnsi="楷体" w:eastAsia="楷体" w:cs="Calibri"/>
          <w:szCs w:val="21"/>
        </w:rPr>
        <w:t>时，投资组合的平均剩余期限不得超过90天，平均剩余存续期限不得超过180天，投资组合中现金、国债、中央银行票据、政策性金融债券以及5个交易日内到期的其他金融工具占本理财产品资产净值的</w:t>
      </w:r>
      <w:r>
        <w:rPr>
          <w:rFonts w:hint="eastAsia" w:ascii="楷体" w:hAnsi="楷体" w:eastAsia="楷体" w:cs="Calibri"/>
          <w:b/>
          <w:szCs w:val="21"/>
          <w:u w:val="single"/>
        </w:rPr>
        <w:t>比例合计不得低于</w:t>
      </w:r>
      <w:r>
        <w:rPr>
          <w:rFonts w:ascii="楷体" w:hAnsi="楷体" w:eastAsia="楷体" w:cs="Calibri"/>
          <w:b/>
          <w:szCs w:val="21"/>
          <w:u w:val="single"/>
        </w:rPr>
        <w:t>20%</w:t>
      </w:r>
      <w:r>
        <w:rPr>
          <w:rFonts w:hint="eastAsia" w:ascii="楷体" w:hAnsi="楷体" w:eastAsia="楷体" w:cs="Calibri"/>
          <w:szCs w:val="21"/>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非因管理人主观因素导致突破上述第（1）项、第（2）项比例限制的，管理人应当在10个交易日内调整至符合要求，监管机构规定的特殊情形除外。</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b/>
          <w:szCs w:val="21"/>
        </w:rPr>
      </w:pPr>
      <w:r>
        <w:rPr>
          <w:rFonts w:hint="eastAsia" w:ascii="楷体" w:hAnsi="楷体" w:eastAsia="楷体" w:cs="Calibri"/>
          <w:szCs w:val="21"/>
        </w:rPr>
        <w:t>7</w:t>
      </w:r>
      <w:r>
        <w:rPr>
          <w:rFonts w:ascii="楷体" w:hAnsi="楷体" w:eastAsia="楷体" w:cs="Calibri"/>
          <w:szCs w:val="21"/>
        </w:rPr>
        <w:t>.</w:t>
      </w:r>
      <w:r>
        <w:rPr>
          <w:rFonts w:hint="eastAsia" w:ascii="楷体" w:hAnsi="楷体" w:eastAsia="楷体" w:cs="Calibri"/>
          <w:szCs w:val="21"/>
        </w:rPr>
        <w:t>如法律法规或监管政策对上述限制有最新规定的，可参照法律法规或监管政策的规定调整。</w:t>
      </w:r>
    </w:p>
    <w:p>
      <w:pPr>
        <w:keepNext w:val="0"/>
        <w:keepLines w:val="0"/>
        <w:pageBreakBefore w:val="0"/>
        <w:numPr>
          <w:ilvl w:val="0"/>
          <w:numId w:val="6"/>
        </w:numPr>
        <w:tabs>
          <w:tab w:val="left" w:pos="993"/>
        </w:tabs>
        <w:wordWrap/>
        <w:topLinePunct w:val="0"/>
        <w:autoSpaceDE/>
        <w:autoSpaceDN/>
        <w:bidi w:val="0"/>
        <w:ind w:left="0" w:firstLine="420" w:firstLineChars="200"/>
        <w:textAlignment w:val="auto"/>
        <w:outlineLvl w:val="1"/>
        <w:rPr>
          <w:rFonts w:hint="eastAsia" w:ascii="楷体" w:hAnsi="楷体" w:eastAsia="楷体" w:cs="Calibri"/>
          <w:b w:val="0"/>
          <w:bCs/>
          <w:szCs w:val="21"/>
        </w:rPr>
      </w:pPr>
      <w:r>
        <w:rPr>
          <w:rFonts w:hint="eastAsia" w:ascii="楷体" w:hAnsi="楷体" w:eastAsia="楷体" w:cs="Calibri"/>
          <w:b w:val="0"/>
          <w:bCs/>
          <w:szCs w:val="21"/>
        </w:rPr>
        <w:t>投资范围调整</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若法律法规、国家监管政策或市场情况发生</w:t>
      </w:r>
      <w:r>
        <w:rPr>
          <w:rFonts w:hint="eastAsia" w:ascii="楷体" w:hAnsi="楷体" w:eastAsia="楷体"/>
          <w:szCs w:val="21"/>
          <w:lang w:val="en-US" w:eastAsia="zh-CN"/>
        </w:rPr>
        <w:t>重大</w:t>
      </w:r>
      <w:r>
        <w:rPr>
          <w:rFonts w:hint="eastAsia" w:ascii="楷体" w:hAnsi="楷体" w:eastAsia="楷体"/>
          <w:szCs w:val="21"/>
        </w:rPr>
        <w:t>变化，苏银理财在不改变产品类型的情况下，可对本说明书中已约定的投资范围、投资品种、投资比例以及收费项目、条件、标准和方式进行调整，产品管理人将于调整事项生效前2个工作日通过短信及苏银理财有限责任公司官方网站（www.suyinwealth.com）、销售机构电子渠道和营业网点等方式进行信息披露。此种情况下产品管理人可能开放赎回，具体以届时产品管理人公告为准。若本理财产品的投资者不接受上述调整，可及时通过销售机构赎回本产品（高风险类型的理财产品超出比例范围投资较低风险资产的情况除外）；若本理财产品投资者未在约定的时间内赎回本产品，则视为本理财产品投资者接受相关调整且同意继续持有本理财产品。</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产品认购</w:t>
      </w:r>
    </w:p>
    <w:p>
      <w:pPr>
        <w:keepNext w:val="0"/>
        <w:keepLines w:val="0"/>
        <w:pageBreakBefore w:val="0"/>
        <w:numPr>
          <w:ilvl w:val="0"/>
          <w:numId w:val="8"/>
        </w:numPr>
        <w:tabs>
          <w:tab w:val="left" w:pos="993"/>
          <w:tab w:val="clear" w:pos="0"/>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认购方式及确认</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理财产品可在各销售机构指定渠道进行认购，投资者按规定提交认购申请，管理人在份额登记日对投资者的认购申请成功登记后并收到投资者全额交付的款项，视为投资者的认购申请生效。投资者应在理财产品成立后及时查询最终的成交情况。</w:t>
      </w:r>
      <w:r>
        <w:rPr>
          <w:rFonts w:hint="eastAsia" w:ascii="楷体" w:hAnsi="楷体" w:eastAsia="楷体"/>
          <w:szCs w:val="21"/>
        </w:rPr>
        <w:t>因投资者资金账户余额不足、司法冻结、不可抗力因素或其他不可归责于管理人和销售机构的事由出现，造成认购申请未被确认的，管理人和销售机构不承担任何责任。</w:t>
      </w:r>
    </w:p>
    <w:p>
      <w:pPr>
        <w:keepNext w:val="0"/>
        <w:keepLines w:val="0"/>
        <w:pageBreakBefore w:val="0"/>
        <w:numPr>
          <w:ilvl w:val="0"/>
          <w:numId w:val="8"/>
        </w:numPr>
        <w:tabs>
          <w:tab w:val="left" w:pos="993"/>
          <w:tab w:val="clear" w:pos="0"/>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认购份额的计算</w:t>
      </w:r>
    </w:p>
    <w:p>
      <w:pPr>
        <w:keepNext w:val="0"/>
        <w:keepLines w:val="0"/>
        <w:pageBreakBefore w:val="0"/>
        <w:wordWrap/>
        <w:topLinePunct w:val="0"/>
        <w:autoSpaceDE/>
        <w:autoSpaceDN/>
        <w:bidi w:val="0"/>
        <w:ind w:firstLine="420" w:firstLineChars="200"/>
        <w:textAlignment w:val="auto"/>
      </w:pPr>
      <w:r>
        <w:rPr>
          <w:rFonts w:ascii="楷体" w:hAnsi="楷体" w:eastAsia="楷体"/>
          <w:szCs w:val="21"/>
        </w:rPr>
        <w:t>认购份额=</w:t>
      </w:r>
      <w:r>
        <w:rPr>
          <w:rFonts w:hint="eastAsia" w:ascii="楷体" w:hAnsi="楷体" w:eastAsia="楷体"/>
          <w:szCs w:val="21"/>
        </w:rPr>
        <w:t>认购金额</w:t>
      </w:r>
      <w:r>
        <w:rPr>
          <w:rFonts w:ascii="楷体" w:hAnsi="楷体" w:eastAsia="楷体"/>
          <w:szCs w:val="21"/>
        </w:rPr>
        <w:t>/</w:t>
      </w:r>
      <w:r>
        <w:rPr>
          <w:rFonts w:hint="eastAsia" w:ascii="楷体" w:hAnsi="楷体" w:eastAsia="楷体"/>
          <w:szCs w:val="21"/>
        </w:rPr>
        <w:t>产品份额面值，</w:t>
      </w:r>
      <w:r>
        <w:rPr>
          <w:rFonts w:ascii="楷体" w:hAnsi="楷体" w:eastAsia="楷体"/>
          <w:szCs w:val="21"/>
        </w:rPr>
        <w:t>认购份额</w:t>
      </w:r>
      <w:r>
        <w:rPr>
          <w:rFonts w:hint="eastAsia" w:ascii="楷体" w:hAnsi="楷体" w:eastAsia="楷体"/>
          <w:szCs w:val="21"/>
        </w:rPr>
        <w:t>以四舍五入的方法保留到小数点后两位。</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产品申购、赎回</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开放计划</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本产品成立后接受</w:t>
      </w:r>
      <w:r>
        <w:rPr>
          <w:rFonts w:hint="eastAsia" w:ascii="楷体" w:hAnsi="楷体" w:eastAsia="楷体" w:cs="Calibri"/>
          <w:szCs w:val="21"/>
          <w:lang w:eastAsia="zh-CN"/>
        </w:rPr>
        <w:t>投资者</w:t>
      </w:r>
      <w:r>
        <w:rPr>
          <w:rFonts w:hint="eastAsia" w:ascii="楷体" w:hAnsi="楷体" w:eastAsia="楷体" w:cs="Calibri"/>
          <w:szCs w:val="21"/>
        </w:rPr>
        <w:t>申购/赎回申请，</w:t>
      </w:r>
      <w:r>
        <w:rPr>
          <w:rFonts w:hint="eastAsia" w:ascii="楷体" w:hAnsi="楷体" w:eastAsia="楷体" w:cs="Calibri"/>
          <w:b w:val="0"/>
          <w:bCs w:val="0"/>
          <w:szCs w:val="21"/>
        </w:rPr>
        <w:t>每个工作日为产品开放日</w:t>
      </w:r>
      <w:r>
        <w:rPr>
          <w:rFonts w:hint="eastAsia" w:ascii="楷体" w:hAnsi="楷体" w:eastAsia="楷体" w:cs="Calibri"/>
          <w:b w:val="0"/>
          <w:bCs w:val="0"/>
          <w:szCs w:val="21"/>
          <w:lang w:val="en-US" w:eastAsia="zh-CN"/>
        </w:rPr>
        <w:t>（T日）</w:t>
      </w:r>
      <w:r>
        <w:rPr>
          <w:rFonts w:hint="eastAsia" w:ascii="楷体" w:hAnsi="楷体" w:eastAsia="楷体" w:cs="Calibri"/>
          <w:szCs w:val="21"/>
        </w:rPr>
        <w:t>。开放日闭市前的申购/赎回申请当日受理，闭市后的申购/赎回申请为预受理，视同下一</w:t>
      </w:r>
      <w:r>
        <w:rPr>
          <w:rFonts w:hint="eastAsia" w:ascii="楷体" w:hAnsi="楷体" w:eastAsia="楷体" w:cs="Calibri"/>
          <w:szCs w:val="21"/>
          <w:lang w:val="en-US" w:eastAsia="zh-CN"/>
        </w:rPr>
        <w:t>开放</w:t>
      </w:r>
      <w:r>
        <w:rPr>
          <w:rFonts w:hint="eastAsia" w:ascii="楷体" w:hAnsi="楷体" w:eastAsia="楷体" w:cs="Calibri"/>
          <w:szCs w:val="21"/>
        </w:rPr>
        <w:t>日申请。</w:t>
      </w:r>
      <w:r>
        <w:rPr>
          <w:rFonts w:hint="eastAsia" w:ascii="楷体" w:hAnsi="楷体" w:eastAsia="楷体" w:cs="Calibri"/>
          <w:szCs w:val="21"/>
          <w:lang w:eastAsia="zh-CN"/>
        </w:rPr>
        <w:t>投资者</w:t>
      </w:r>
      <w:r>
        <w:rPr>
          <w:rFonts w:hint="eastAsia" w:ascii="楷体" w:hAnsi="楷体" w:eastAsia="楷体" w:cs="Calibri"/>
          <w:szCs w:val="21"/>
        </w:rPr>
        <w:t>提交的申购/赎回申请可以在产品开放日闭市前撤销，之后不得撤销（闭市时间以各销售机构设置为准）。本产品全部或部分份额支持夜市理财功能，但夜市理财功能闭市时间不得超过开放日24：00，夜市理财功能以销售机构设置为准。</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申购、赎回的规则</w:t>
      </w:r>
    </w:p>
    <w:p>
      <w:pPr>
        <w:keepNext w:val="0"/>
        <w:keepLines w:val="0"/>
        <w:pageBreakBefore w:val="0"/>
        <w:numPr>
          <w:ilvl w:val="0"/>
          <w:numId w:val="10"/>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申购、赎回的原则：投资者必须在产品开放计划内提出申购、赎回申请，采用金额申购、份额赎回的原则，即申购以金额申请，赎回以份额申请。投资者提出申购申请时，须备足购买资金；投资者提出赎回申请时，须有足够的理财产品份额余额。</w:t>
      </w:r>
    </w:p>
    <w:p>
      <w:pPr>
        <w:keepNext w:val="0"/>
        <w:keepLines w:val="0"/>
        <w:pageBreakBefore w:val="0"/>
        <w:numPr>
          <w:ilvl w:val="0"/>
          <w:numId w:val="10"/>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申购、赎回的确认：投资者申购/赎回本产品时采用“确定价”原则，价格为1元/份，投资者在开放计划时间内通过销售机构提出的申购/赎回申请，管理人于</w:t>
      </w:r>
      <w:r>
        <w:rPr>
          <w:rFonts w:hint="eastAsia" w:ascii="楷体" w:hAnsi="楷体" w:eastAsia="楷体" w:cs="Calibri"/>
          <w:szCs w:val="21"/>
          <w:lang w:val="en-US" w:eastAsia="zh-CN"/>
        </w:rPr>
        <w:t>T+</w:t>
      </w:r>
      <w:r>
        <w:rPr>
          <w:rFonts w:hint="eastAsia" w:ascii="楷体" w:hAnsi="楷体" w:eastAsia="楷体" w:cs="Calibri"/>
          <w:szCs w:val="21"/>
        </w:rPr>
        <w:t>1日按开放日单位净值对申购/赎回申请予以统一确认。</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Calibri"/>
          <w:szCs w:val="21"/>
        </w:rPr>
        <w:t>管理人在份额登记日对投资者的</w:t>
      </w:r>
      <w:r>
        <w:rPr>
          <w:rFonts w:hint="eastAsia" w:ascii="楷体" w:hAnsi="楷体" w:eastAsia="楷体"/>
          <w:szCs w:val="21"/>
        </w:rPr>
        <w:t>申购</w:t>
      </w:r>
      <w:r>
        <w:rPr>
          <w:rFonts w:hint="eastAsia" w:ascii="楷体" w:hAnsi="楷体" w:eastAsia="楷体" w:cs="Calibri"/>
          <w:szCs w:val="21"/>
        </w:rPr>
        <w:t>申请登记成功后并收到投资者全额交付的款项，视为投资者的</w:t>
      </w:r>
      <w:r>
        <w:rPr>
          <w:rFonts w:hint="eastAsia" w:ascii="楷体" w:hAnsi="楷体" w:eastAsia="楷体"/>
          <w:szCs w:val="21"/>
        </w:rPr>
        <w:t>申购</w:t>
      </w:r>
      <w:r>
        <w:rPr>
          <w:rFonts w:hint="eastAsia" w:ascii="楷体" w:hAnsi="楷体" w:eastAsia="楷体" w:cs="Calibri"/>
          <w:szCs w:val="21"/>
        </w:rPr>
        <w:t>申请生效。投资者应在</w:t>
      </w:r>
      <w:r>
        <w:rPr>
          <w:rFonts w:hint="eastAsia" w:ascii="楷体" w:hAnsi="楷体" w:eastAsia="楷体"/>
          <w:szCs w:val="21"/>
        </w:rPr>
        <w:t>开放日后</w:t>
      </w:r>
      <w:r>
        <w:rPr>
          <w:rFonts w:hint="eastAsia" w:ascii="楷体" w:hAnsi="楷体" w:eastAsia="楷体" w:cs="Calibri"/>
          <w:szCs w:val="21"/>
        </w:rPr>
        <w:t>及时查询最终的成交情况以及</w:t>
      </w:r>
      <w:r>
        <w:rPr>
          <w:rFonts w:hint="eastAsia" w:ascii="楷体" w:hAnsi="楷体" w:eastAsia="楷体"/>
          <w:szCs w:val="21"/>
        </w:rPr>
        <w:t>申购</w:t>
      </w:r>
      <w:r>
        <w:rPr>
          <w:rFonts w:hint="eastAsia" w:ascii="楷体" w:hAnsi="楷体" w:eastAsia="楷体" w:cs="Calibri"/>
          <w:szCs w:val="21"/>
        </w:rPr>
        <w:t>的份额。</w:t>
      </w:r>
      <w:r>
        <w:rPr>
          <w:rFonts w:hint="eastAsia" w:ascii="楷体" w:hAnsi="楷体" w:eastAsia="楷体"/>
          <w:szCs w:val="21"/>
        </w:rPr>
        <w:t>因投资者资金账户余额不足、司法冻结、不可抗力因素或其他不可归责于管理人和销售机构的事由出现，造成申购</w:t>
      </w:r>
      <w:r>
        <w:rPr>
          <w:rFonts w:hint="eastAsia" w:ascii="楷体" w:hAnsi="楷体" w:eastAsia="楷体" w:cs="Calibri"/>
          <w:szCs w:val="21"/>
        </w:rPr>
        <w:t>申请</w:t>
      </w:r>
      <w:r>
        <w:rPr>
          <w:rFonts w:hint="eastAsia" w:ascii="楷体" w:hAnsi="楷体" w:eastAsia="楷体"/>
          <w:szCs w:val="21"/>
        </w:rPr>
        <w:t>未被确认的，管理人和销售机构不承担任何责任。</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投资者赎回资金将在确认日后2个工作日内到达投资者资金账户。</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申购份额的计算</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申购份额=申购金额/开放日产品单位净值，申购份额以四舍五入的方法保留到小数点后两位</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赎回金额的计算</w:t>
      </w:r>
    </w:p>
    <w:p>
      <w:pPr>
        <w:keepNext w:val="0"/>
        <w:keepLines w:val="0"/>
        <w:pageBreakBefore w:val="0"/>
        <w:wordWrap/>
        <w:topLinePunct w:val="0"/>
        <w:autoSpaceDE/>
        <w:autoSpaceDN/>
        <w:bidi w:val="0"/>
        <w:ind w:firstLine="420" w:firstLineChars="200"/>
        <w:textAlignment w:val="auto"/>
        <w:rPr>
          <w:szCs w:val="21"/>
        </w:rPr>
      </w:pPr>
      <w:r>
        <w:rPr>
          <w:rFonts w:hint="eastAsia" w:ascii="楷体" w:hAnsi="楷体" w:eastAsia="楷体"/>
          <w:szCs w:val="21"/>
        </w:rPr>
        <w:t>赎回金额=赎回份额*开放日产品单位净值，赎回金额以四舍五入的方法保留到小数点后两位</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快速赎回规则</w:t>
      </w:r>
    </w:p>
    <w:p>
      <w:pPr>
        <w:keepNext w:val="0"/>
        <w:keepLines w:val="0"/>
        <w:pageBreakBefore w:val="0"/>
        <w:tabs>
          <w:tab w:val="left" w:pos="993"/>
        </w:tabs>
        <w:wordWrap/>
        <w:topLinePunct w:val="0"/>
        <w:autoSpaceDE/>
        <w:autoSpaceDN/>
        <w:bidi w:val="0"/>
        <w:ind w:firstLine="422" w:firstLineChars="200"/>
        <w:textAlignment w:val="auto"/>
        <w:rPr>
          <w:rFonts w:hint="eastAsia" w:ascii="楷体" w:hAnsi="楷体" w:eastAsia="楷体" w:cs="Calibri"/>
          <w:b/>
          <w:bCs/>
          <w:szCs w:val="21"/>
          <w:u w:val="single"/>
        </w:rPr>
      </w:pPr>
      <w:r>
        <w:rPr>
          <w:rFonts w:hint="eastAsia" w:ascii="楷体" w:hAnsi="楷体" w:eastAsia="楷体" w:cs="Calibri"/>
          <w:b/>
          <w:bCs/>
          <w:szCs w:val="21"/>
          <w:u w:val="single"/>
        </w:rPr>
        <w:t>本产品销售机构可为投资者提供“快速赎回”增值服务，</w:t>
      </w:r>
      <w:r>
        <w:rPr>
          <w:rFonts w:hint="eastAsia" w:ascii="楷体" w:hAnsi="楷体" w:eastAsia="楷体" w:cs="Calibri"/>
          <w:b/>
          <w:bCs/>
          <w:szCs w:val="21"/>
          <w:u w:val="single"/>
          <w:lang w:eastAsia="zh-CN"/>
        </w:rPr>
        <w:t>投资者</w:t>
      </w:r>
      <w:r>
        <w:rPr>
          <w:rFonts w:hint="eastAsia" w:ascii="楷体" w:hAnsi="楷体" w:eastAsia="楷体" w:cs="Calibri"/>
          <w:b/>
          <w:bCs/>
          <w:szCs w:val="21"/>
          <w:u w:val="single"/>
        </w:rPr>
        <w:t>可通过销售机构渠道进行快速赎回，如无特殊情况，快速赎回资金将于赎回申请日当日到账。</w:t>
      </w:r>
      <w:r>
        <w:rPr>
          <w:rFonts w:hint="eastAsia" w:ascii="楷体" w:hAnsi="楷体" w:eastAsia="楷体" w:cs="Calibri"/>
          <w:szCs w:val="21"/>
        </w:rPr>
        <w:t>“快速赎回”为本理财产品的增值服务，非法定义务，是否开通以销售机构设置为准，具体业务处理原则以销售机构的快速赎回服务协议约定为准。管理人将根据快速赎回服务协议的约定，履行份额快速过户及理财份额收益划付等职责。销售机构因特殊情况（包括但不限于专门用于快速赎回业务的账户异常或账户余额不足等）无法继续提供快速赎回服务的，销售机构有权暂停或终止“快速赎回”业务。</w:t>
      </w:r>
      <w:r>
        <w:rPr>
          <w:rFonts w:hint="eastAsia" w:ascii="楷体" w:hAnsi="楷体" w:eastAsia="楷体" w:cs="Calibri"/>
          <w:b/>
          <w:bCs/>
          <w:szCs w:val="21"/>
          <w:u w:val="single"/>
        </w:rPr>
        <w:t>每只产品每个自然日单个销售渠道为</w:t>
      </w:r>
      <w:r>
        <w:rPr>
          <w:rFonts w:hint="eastAsia" w:ascii="楷体" w:hAnsi="楷体" w:eastAsia="楷体" w:cs="Calibri"/>
          <w:b/>
          <w:bCs/>
          <w:szCs w:val="21"/>
          <w:u w:val="single"/>
          <w:lang w:eastAsia="zh-CN"/>
        </w:rPr>
        <w:t>投资者</w:t>
      </w:r>
      <w:r>
        <w:rPr>
          <w:rFonts w:hint="eastAsia" w:ascii="楷体" w:hAnsi="楷体" w:eastAsia="楷体" w:cs="Calibri"/>
          <w:b/>
          <w:bCs/>
          <w:szCs w:val="21"/>
          <w:u w:val="single"/>
        </w:rPr>
        <w:t>提供的“快速赎回”限额为1万元。</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巨额赎回：详见“产品要素”</w:t>
      </w:r>
    </w:p>
    <w:p>
      <w:pPr>
        <w:keepNext w:val="0"/>
        <w:keepLines w:val="0"/>
        <w:pageBreakBefore w:val="0"/>
        <w:widowControl w:val="0"/>
        <w:numPr>
          <w:ilvl w:val="0"/>
          <w:numId w:val="9"/>
        </w:numPr>
        <w:tabs>
          <w:tab w:val="left" w:pos="993"/>
        </w:tabs>
        <w:kinsoku/>
        <w:wordWrap/>
        <w:overflowPunct/>
        <w:topLinePunct w:val="0"/>
        <w:autoSpaceDE/>
        <w:autoSpaceDN/>
        <w:bidi w:val="0"/>
        <w:adjustRightInd/>
        <w:snapToGrid/>
        <w:ind w:left="0" w:leftChars="0" w:firstLine="420" w:firstLineChars="200"/>
        <w:textAlignment w:val="auto"/>
        <w:outlineLvl w:val="2"/>
        <w:rPr>
          <w:rFonts w:hint="eastAsia" w:ascii="楷体" w:hAnsi="楷体" w:eastAsia="楷体" w:cs="Calibri"/>
          <w:b w:val="0"/>
          <w:bCs/>
          <w:szCs w:val="21"/>
        </w:rPr>
      </w:pPr>
      <w:r>
        <w:rPr>
          <w:rFonts w:hint="eastAsia" w:ascii="楷体" w:hAnsi="楷体" w:eastAsia="楷体" w:cs="Calibri"/>
          <w:b w:val="0"/>
          <w:bCs/>
          <w:szCs w:val="21"/>
        </w:rPr>
        <w:t>特殊情形及处理</w:t>
      </w:r>
    </w:p>
    <w:p>
      <w:pPr>
        <w:keepNext w:val="0"/>
        <w:keepLines w:val="0"/>
        <w:pageBreakBefore w:val="0"/>
        <w:wordWrap/>
        <w:topLinePunct w:val="0"/>
        <w:autoSpaceDE/>
        <w:autoSpaceDN/>
        <w:bidi w:val="0"/>
        <w:ind w:firstLine="420" w:firstLineChars="200"/>
        <w:textAlignment w:val="auto"/>
        <w:rPr>
          <w:rFonts w:hint="eastAsia" w:ascii="楷体" w:hAnsi="楷体" w:eastAsia="楷体"/>
          <w:b w:val="0"/>
          <w:bCs w:val="0"/>
          <w:szCs w:val="21"/>
        </w:rPr>
      </w:pPr>
      <w:r>
        <w:rPr>
          <w:rFonts w:ascii="楷体" w:hAnsi="楷体" w:eastAsia="楷体"/>
          <w:b w:val="0"/>
          <w:bCs w:val="0"/>
          <w:szCs w:val="21"/>
        </w:rPr>
        <w:t>1.</w:t>
      </w:r>
      <w:r>
        <w:rPr>
          <w:rFonts w:hint="eastAsia" w:ascii="楷体" w:hAnsi="楷体" w:eastAsia="楷体"/>
          <w:b w:val="0"/>
          <w:bCs w:val="0"/>
          <w:szCs w:val="21"/>
        </w:rPr>
        <w:t>除以下情形外，管理人不得拒绝接受或暂停接受投资者的申购申请：</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（1）不可抗力的原因导致产品无法正常运作；（2）超出产品单一投资者持有上限；（3）发生《理财产品说明书》约定的暂停估值的情形；（4）管理人接受某笔或者某些申购申请有可能导致单一投资者持有理财</w:t>
      </w:r>
      <w:r>
        <w:rPr>
          <w:rFonts w:hint="eastAsia" w:ascii="楷体" w:hAnsi="楷体" w:eastAsia="楷体" w:cs="Calibri"/>
          <w:szCs w:val="21"/>
          <w:lang w:val="en-US" w:eastAsia="zh-CN"/>
        </w:rPr>
        <w:t>产品</w:t>
      </w:r>
      <w:r>
        <w:rPr>
          <w:rFonts w:hint="eastAsia" w:ascii="楷体" w:hAnsi="楷体" w:eastAsia="楷体" w:cs="Calibri"/>
          <w:szCs w:val="21"/>
        </w:rPr>
        <w:t>份额的比例达到或者超过50%的情形；（5）当接受某笔或某些申购申请可能对存量理财</w:t>
      </w:r>
      <w:r>
        <w:rPr>
          <w:rFonts w:hint="eastAsia" w:ascii="楷体" w:hAnsi="楷体" w:eastAsia="楷体" w:cs="Calibri"/>
          <w:szCs w:val="21"/>
          <w:lang w:val="en-US" w:eastAsia="zh-CN"/>
        </w:rPr>
        <w:t>产品</w:t>
      </w:r>
      <w:r>
        <w:rPr>
          <w:rFonts w:hint="eastAsia" w:ascii="楷体" w:hAnsi="楷体" w:eastAsia="楷体" w:cs="Calibri"/>
          <w:szCs w:val="21"/>
        </w:rPr>
        <w:t>份额持有人利益构成潜在重大不利影响时；（6）法律、法规规定认定的其他情形。</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在上述暂停或拒绝申购的情况消除后，管理人将及时恢复申购业务的办理。</w:t>
      </w:r>
    </w:p>
    <w:p>
      <w:pPr>
        <w:keepNext w:val="0"/>
        <w:keepLines w:val="0"/>
        <w:pageBreakBefore w:val="0"/>
        <w:wordWrap/>
        <w:topLinePunct w:val="0"/>
        <w:autoSpaceDE/>
        <w:autoSpaceDN/>
        <w:bidi w:val="0"/>
        <w:ind w:firstLine="420" w:firstLineChars="200"/>
        <w:textAlignment w:val="auto"/>
        <w:rPr>
          <w:rFonts w:hint="eastAsia" w:ascii="楷体" w:hAnsi="楷体" w:eastAsia="楷体"/>
          <w:b w:val="0"/>
          <w:bCs w:val="0"/>
          <w:szCs w:val="21"/>
        </w:rPr>
      </w:pPr>
      <w:r>
        <w:rPr>
          <w:rFonts w:ascii="楷体" w:hAnsi="楷体" w:eastAsia="楷体"/>
          <w:b w:val="0"/>
          <w:bCs w:val="0"/>
          <w:szCs w:val="21"/>
        </w:rPr>
        <w:t>2.</w:t>
      </w:r>
      <w:r>
        <w:rPr>
          <w:rFonts w:hint="eastAsia" w:ascii="楷体" w:hAnsi="楷体" w:eastAsia="楷体"/>
          <w:b w:val="0"/>
          <w:bCs w:val="0"/>
          <w:szCs w:val="21"/>
        </w:rPr>
        <w:t>除以下情形外，管理人不得暂停接受投资者的赎回申请或延缓支付赎回款项：</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（1）不可抗力的原因导致管理人不能支付赎回款项；（2）触发巨额赎回条款；（3）发生《理财产品说明书》约定的暂停估值的情形；（4）当接受某笔或某些赎回申请可能对存量理财</w:t>
      </w:r>
      <w:r>
        <w:rPr>
          <w:rFonts w:hint="eastAsia" w:ascii="楷体" w:hAnsi="楷体" w:eastAsia="楷体" w:cs="Calibri"/>
          <w:szCs w:val="21"/>
          <w:lang w:val="en-US" w:eastAsia="zh-CN"/>
        </w:rPr>
        <w:t>产品</w:t>
      </w:r>
      <w:r>
        <w:rPr>
          <w:rFonts w:hint="eastAsia" w:ascii="楷体" w:hAnsi="楷体" w:eastAsia="楷体" w:cs="Calibri"/>
          <w:szCs w:val="21"/>
        </w:rPr>
        <w:t>份额持有人利益构成潜在重大不利影响时；（5）发生单个投资者单个开放日申请赎回理财计划份额超过理财产品总份额10%的情形；（6）法律、法规规定认定的其他情形。</w:t>
      </w:r>
    </w:p>
    <w:p>
      <w:pPr>
        <w:keepNext w:val="0"/>
        <w:keepLines w:val="0"/>
        <w:pageBreakBefore w:val="0"/>
        <w:tabs>
          <w:tab w:val="left" w:pos="728"/>
        </w:tabs>
        <w:wordWrap/>
        <w:topLinePunct w:val="0"/>
        <w:autoSpaceDE/>
        <w:autoSpaceDN/>
        <w:bidi w:val="0"/>
        <w:ind w:firstLine="420" w:firstLineChars="200"/>
        <w:textAlignment w:val="auto"/>
      </w:pPr>
      <w:r>
        <w:rPr>
          <w:rFonts w:hint="eastAsia" w:ascii="楷体" w:hAnsi="楷体" w:eastAsia="楷体" w:cs="Calibri"/>
          <w:szCs w:val="21"/>
        </w:rPr>
        <w:t>若管理人决定</w:t>
      </w:r>
      <w:r>
        <w:rPr>
          <w:rFonts w:hint="eastAsia" w:ascii="楷体" w:hAnsi="楷体" w:eastAsia="楷体"/>
          <w:szCs w:val="21"/>
        </w:rPr>
        <w:t>暂停接受投资者的赎回申请或延缓支付赎回款项</w:t>
      </w:r>
      <w:r>
        <w:rPr>
          <w:rFonts w:hint="eastAsia" w:ascii="楷体" w:hAnsi="楷体" w:eastAsia="楷体" w:cs="Calibri"/>
          <w:szCs w:val="21"/>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Cs w:val="21"/>
        </w:rPr>
        <w:t>暂停接受投资者的赎回申请或延缓支付赎回款项的情况消除后</w:t>
      </w:r>
      <w:r>
        <w:rPr>
          <w:rFonts w:hint="eastAsia" w:ascii="楷体" w:hAnsi="楷体" w:eastAsia="楷体" w:cs="Calibri"/>
          <w:szCs w:val="21"/>
        </w:rPr>
        <w:t>，管理人将及时恢复</w:t>
      </w:r>
      <w:r>
        <w:rPr>
          <w:rFonts w:hint="eastAsia" w:ascii="楷体" w:hAnsi="楷体" w:eastAsia="楷体" w:cs="Calibri"/>
          <w:szCs w:val="21"/>
          <w:lang w:val="en-US" w:eastAsia="zh-CN"/>
        </w:rPr>
        <w:t>赎回</w:t>
      </w:r>
      <w:r>
        <w:rPr>
          <w:rFonts w:hint="eastAsia" w:ascii="楷体" w:hAnsi="楷体" w:eastAsia="楷体" w:cs="Calibri"/>
          <w:szCs w:val="21"/>
        </w:rPr>
        <w:t>业务的办理。</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产品终止</w:t>
      </w:r>
    </w:p>
    <w:p>
      <w:pPr>
        <w:keepNext w:val="0"/>
        <w:keepLines w:val="0"/>
        <w:pageBreakBefore w:val="0"/>
        <w:widowControl w:val="0"/>
        <w:numPr>
          <w:ilvl w:val="0"/>
          <w:numId w:val="1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提前终止</w:t>
      </w:r>
    </w:p>
    <w:p>
      <w:pPr>
        <w:keepNext w:val="0"/>
        <w:keepLines w:val="0"/>
        <w:pageBreakBefore w:val="0"/>
        <w:numPr>
          <w:ilvl w:val="255"/>
          <w:numId w:val="0"/>
        </w:numPr>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Calibri"/>
          <w:szCs w:val="21"/>
        </w:rPr>
        <w:t>在理财产品投资运作期间内，投资者无权要求提前终止该理财产品。在理财产品投资运作期间内，</w:t>
      </w:r>
      <w:r>
        <w:rPr>
          <w:rFonts w:hint="eastAsia" w:ascii="楷体" w:hAnsi="楷体" w:eastAsia="楷体" w:cs="Calibri"/>
          <w:szCs w:val="21"/>
          <w:lang w:val="en-US" w:eastAsia="zh-CN"/>
        </w:rPr>
        <w:t>包括但不限于</w:t>
      </w:r>
      <w:r>
        <w:rPr>
          <w:rFonts w:hint="eastAsia" w:ascii="楷体" w:hAnsi="楷体" w:eastAsia="楷体" w:cs="Calibri"/>
          <w:szCs w:val="21"/>
        </w:rPr>
        <w:t>出现下列情形时，产品管理人有权提前终止本产品：因不可抗力原因导致理财产品无法继续运作；因法律法规变化或国家金融政策调整、紧急措施出台影响产品继续正常运作；法律法规规定或监管部门认定的其他情形。</w:t>
      </w:r>
      <w:r>
        <w:rPr>
          <w:rFonts w:hint="eastAsia" w:ascii="楷体" w:hAnsi="楷体" w:eastAsia="楷体"/>
          <w:szCs w:val="21"/>
        </w:rPr>
        <w:t>如理财产品管理人提前终止本理财产品，将至少提前2个工作日（含）按说明书约定的信息披露方式予以披露，明确产品终止日。</w:t>
      </w:r>
    </w:p>
    <w:p>
      <w:pPr>
        <w:keepNext w:val="0"/>
        <w:keepLines w:val="0"/>
        <w:pageBreakBefore w:val="0"/>
        <w:widowControl w:val="0"/>
        <w:numPr>
          <w:ilvl w:val="0"/>
          <w:numId w:val="1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正常终止</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投资者持有本理财产品至产品到期日，投资者的投资本金和收益（如有）将在产品到期后一次性支付。</w:t>
      </w:r>
    </w:p>
    <w:p>
      <w:pPr>
        <w:keepNext w:val="0"/>
        <w:keepLines w:val="0"/>
        <w:pageBreakBefore w:val="0"/>
        <w:widowControl w:val="0"/>
        <w:numPr>
          <w:ilvl w:val="0"/>
          <w:numId w:val="1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延期终止</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出现以下情况，产品管理人有权延长本理财产品的终止日：产品终止日遇非工作日则顺延至下一工作日，投资者清算资金到账日将相应调整；因不可抗力、市场发生重大变化等原因导致产品项下对应的投资标的无法及时变现、无法及时收回资金；法律法规规定或监管部门认定的其他情形。产品管理人决定延期兑付的，将至少提前2个工作日（含）按说明书约定的信息披露方式予以披露。</w:t>
      </w:r>
    </w:p>
    <w:p>
      <w:pPr>
        <w:keepNext w:val="0"/>
        <w:keepLines w:val="0"/>
        <w:pageBreakBefore w:val="0"/>
        <w:widowControl w:val="0"/>
        <w:numPr>
          <w:ilvl w:val="0"/>
          <w:numId w:val="1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投资者可得资金计算</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投资者可得资金=投资者持有份额×产品到期（终止）时单位净值，投资者可得资金以四舍五入的方法保留到小数点后两位。</w:t>
      </w:r>
    </w:p>
    <w:p>
      <w:pPr>
        <w:keepNext w:val="0"/>
        <w:keepLines w:val="0"/>
        <w:pageBreakBefore w:val="0"/>
        <w:widowControl w:val="0"/>
        <w:numPr>
          <w:ilvl w:val="0"/>
          <w:numId w:val="11"/>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终止清算</w:t>
      </w:r>
    </w:p>
    <w:p>
      <w:pPr>
        <w:keepNext w:val="0"/>
        <w:keepLines w:val="0"/>
        <w:pageBreakBefore w:val="0"/>
        <w:wordWrap/>
        <w:topLinePunct w:val="0"/>
        <w:autoSpaceDE/>
        <w:autoSpaceDN/>
        <w:bidi w:val="0"/>
        <w:ind w:firstLine="420" w:firstLineChars="200"/>
        <w:textAlignment w:val="auto"/>
      </w:pPr>
      <w:r>
        <w:rPr>
          <w:rFonts w:hint="eastAsia" w:ascii="楷体" w:hAnsi="楷体" w:eastAsia="楷体" w:cs="Calibri"/>
          <w:szCs w:val="21"/>
        </w:rPr>
        <w:t>投资者的投资本金和收益（如有）将于产品到期日（产品终止日）后5个工作日以内划至投资者指定账户，如遇</w:t>
      </w:r>
      <w:r>
        <w:rPr>
          <w:rFonts w:hint="eastAsia" w:ascii="楷体" w:hAnsi="楷体" w:eastAsia="楷体" w:cs="Calibri"/>
          <w:szCs w:val="21"/>
          <w:lang w:val="en-US" w:eastAsia="zh-CN"/>
        </w:rPr>
        <w:t>非工作日</w:t>
      </w:r>
      <w:r>
        <w:rPr>
          <w:rFonts w:hint="eastAsia" w:ascii="楷体" w:hAnsi="楷体" w:eastAsia="楷体" w:cs="Calibri"/>
          <w:szCs w:val="21"/>
        </w:rPr>
        <w:t>则相应顺延。</w:t>
      </w:r>
    </w:p>
    <w:p>
      <w:pPr>
        <w:keepNext w:val="0"/>
        <w:keepLines w:val="0"/>
        <w:pageBreakBefore w:val="0"/>
        <w:numPr>
          <w:ilvl w:val="0"/>
          <w:numId w:val="2"/>
        </w:numPr>
        <w:tabs>
          <w:tab w:val="left" w:pos="1134"/>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收益分配</w:t>
      </w:r>
    </w:p>
    <w:p>
      <w:pPr>
        <w:keepNext w:val="0"/>
        <w:keepLines w:val="0"/>
        <w:pageBreakBefore w:val="0"/>
        <w:wordWrap/>
        <w:topLinePunct w:val="0"/>
        <w:autoSpaceDE/>
        <w:autoSpaceDN/>
        <w:bidi w:val="0"/>
        <w:ind w:firstLine="422" w:firstLineChars="200"/>
        <w:textAlignment w:val="auto"/>
        <w:rPr>
          <w:rFonts w:hint="eastAsia" w:ascii="楷体" w:hAnsi="楷体" w:eastAsia="楷体"/>
          <w:b/>
          <w:szCs w:val="21"/>
          <w:u w:val="single"/>
        </w:rPr>
      </w:pPr>
      <w:r>
        <w:rPr>
          <w:rFonts w:hint="eastAsia" w:ascii="楷体" w:hAnsi="楷体" w:eastAsia="楷体"/>
          <w:b/>
          <w:szCs w:val="21"/>
          <w:u w:val="single"/>
        </w:rPr>
        <w:t>投资者持有本理财产品期间及到期时，管理人不承诺保证投资本金安全且不保证理财收益，投资者收益（如有）随理财产品的投资盈亏水平浮动。</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本理财产品根据每日收益情况，以理财产品实际收益为基准，每日为投资者分配当日理财收益，每日结转为份额，投资者继续持有的红利份额可参与后续理财产品投资收益分配。</w:t>
      </w:r>
    </w:p>
    <w:p>
      <w:pPr>
        <w:keepNext w:val="0"/>
        <w:keepLines w:val="0"/>
        <w:pageBreakBefore w:val="0"/>
        <w:widowControl w:val="0"/>
        <w:numPr>
          <w:ilvl w:val="0"/>
          <w:numId w:val="12"/>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每万份收益</w:t>
      </w:r>
    </w:p>
    <w:p>
      <w:pPr>
        <w:keepNext w:val="0"/>
        <w:keepLines w:val="0"/>
        <w:pageBreakBefore w:val="0"/>
        <w:numPr>
          <w:ilvl w:val="0"/>
          <w:numId w:val="1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每个估值日管理人将每日投资收益扣除固定费用（包括托管费、销售费、投资管理费）、运作产品所必须缴纳的税费、业绩报酬（如有）后的盈余部分作为当日理财产品已实现收益分配给投资者。</w:t>
      </w:r>
    </w:p>
    <w:p>
      <w:pPr>
        <w:keepNext w:val="0"/>
        <w:keepLines w:val="0"/>
        <w:pageBreakBefore w:val="0"/>
        <w:numPr>
          <w:ilvl w:val="0"/>
          <w:numId w:val="13"/>
        </w:numPr>
        <w:tabs>
          <w:tab w:val="left" w:pos="728"/>
        </w:tabs>
        <w:wordWrap/>
        <w:topLinePunct w:val="0"/>
        <w:autoSpaceDE/>
        <w:autoSpaceDN/>
        <w:bidi w:val="0"/>
        <w:ind w:left="0" w:firstLine="420" w:firstLineChars="200"/>
        <w:textAlignment w:val="auto"/>
      </w:pPr>
      <w:r>
        <w:rPr>
          <w:rFonts w:hint="eastAsia" w:ascii="楷体" w:hAnsi="楷体" w:eastAsia="楷体" w:cs="Calibri"/>
          <w:szCs w:val="21"/>
        </w:rPr>
        <w:t>每万份收益=当日理财产品已实现收益/当日理财产品份额总数×10000，采用截位法保留至小数点后第4位。</w:t>
      </w:r>
    </w:p>
    <w:p>
      <w:pPr>
        <w:keepNext w:val="0"/>
        <w:keepLines w:val="0"/>
        <w:pageBreakBefore w:val="0"/>
        <w:numPr>
          <w:ilvl w:val="0"/>
          <w:numId w:val="1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单个投资者应分配红利=单个投资者当日存量份额/当日理财产品份额总数×当日理财产品已实现收益，采用截位法保留至小数点后2位，因截位形成的余额进行再次分配，直至分完为止。</w:t>
      </w:r>
      <w:r>
        <w:rPr>
          <w:rFonts w:hint="eastAsia" w:ascii="楷体" w:hAnsi="楷体" w:eastAsia="楷体" w:cs="Calibri"/>
          <w:b/>
          <w:bCs/>
          <w:szCs w:val="21"/>
          <w:u w:val="single"/>
        </w:rPr>
        <w:t>单个投资者当日存量份额较低时，投资者持有份额可能无法获得红利。</w:t>
      </w:r>
    </w:p>
    <w:p>
      <w:pPr>
        <w:keepNext w:val="0"/>
        <w:keepLines w:val="0"/>
        <w:pageBreakBefore w:val="0"/>
        <w:numPr>
          <w:ilvl w:val="0"/>
          <w:numId w:val="1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产品管理人每个开放日公布上一开放日每万份收益。</w:t>
      </w:r>
    </w:p>
    <w:p>
      <w:pPr>
        <w:keepNext w:val="0"/>
        <w:keepLines w:val="0"/>
        <w:pageBreakBefore w:val="0"/>
        <w:numPr>
          <w:ilvl w:val="0"/>
          <w:numId w:val="13"/>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理财产品每万份收益仅供投资者购买时参考，并不代表本产品实际收益或未来的表现，也不构成管理人对本产品收益的任何承诺或保证，产品收益以管理人实际支付为准。</w:t>
      </w:r>
    </w:p>
    <w:p>
      <w:pPr>
        <w:keepNext w:val="0"/>
        <w:keepLines w:val="0"/>
        <w:pageBreakBefore w:val="0"/>
        <w:widowControl w:val="0"/>
        <w:numPr>
          <w:ilvl w:val="0"/>
          <w:numId w:val="12"/>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szCs w:val="21"/>
        </w:rPr>
        <w:t>七日年化收益率</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position w:val="-23"/>
          <w:szCs w:val="21"/>
        </w:rPr>
        <w:drawing>
          <wp:inline distT="0" distB="0" distL="0" distR="0">
            <wp:extent cx="3343275" cy="400050"/>
            <wp:effectExtent l="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43275" cy="400050"/>
                    </a:xfrm>
                    <a:prstGeom prst="rect">
                      <a:avLst/>
                    </a:prstGeom>
                    <a:noFill/>
                    <a:ln>
                      <a:noFill/>
                    </a:ln>
                  </pic:spPr>
                </pic:pic>
              </a:graphicData>
            </a:graphic>
          </wp:inline>
        </w:drawing>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其中，R</w:t>
      </w:r>
      <w:r>
        <w:rPr>
          <w:rFonts w:hint="eastAsia" w:ascii="楷体" w:hAnsi="楷体" w:eastAsia="楷体" w:cs="Calibri"/>
          <w:szCs w:val="21"/>
          <w:vertAlign w:val="subscript"/>
        </w:rPr>
        <w:t>i</w:t>
      </w:r>
      <w:r>
        <w:rPr>
          <w:rFonts w:hint="eastAsia" w:ascii="楷体" w:hAnsi="楷体" w:eastAsia="楷体" w:cs="Calibri"/>
          <w:szCs w:val="21"/>
        </w:rPr>
        <w:t>为最近每万份理财产品收益。7日年化收益率用四舍五入保留至百分号内小数点后第2位。</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Calibri"/>
          <w:szCs w:val="21"/>
        </w:rPr>
        <w:t>产品管理人每个开放日公布上一开放日</w:t>
      </w:r>
      <w:r>
        <w:rPr>
          <w:rFonts w:hint="eastAsia" w:ascii="楷体" w:hAnsi="楷体" w:eastAsia="楷体"/>
          <w:szCs w:val="21"/>
        </w:rPr>
        <w:t>产品七日年化收益率。</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cs="Calibri"/>
          <w:szCs w:val="21"/>
        </w:rPr>
        <w:t>理财产品七日年化收益率仅供投资者购买时参考，并不代表本产品实际收益或未来的表现，也不构成管理人对本产品收益的任何承诺或保证，产品收益以管理人实际支付为准。</w:t>
      </w:r>
    </w:p>
    <w:p>
      <w:pPr>
        <w:keepNext w:val="0"/>
        <w:keepLines w:val="0"/>
        <w:pageBreakBefore w:val="0"/>
        <w:widowControl w:val="0"/>
        <w:numPr>
          <w:ilvl w:val="0"/>
          <w:numId w:val="12"/>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收益分配时间</w:t>
      </w:r>
    </w:p>
    <w:p>
      <w:pPr>
        <w:keepNext w:val="0"/>
        <w:keepLines w:val="0"/>
        <w:pageBreakBefore w:val="0"/>
        <w:numPr>
          <w:ilvl w:val="0"/>
          <w:numId w:val="14"/>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若本产品当日投资净收益大于零，管理人将当日投资净收益分配给投资者，红利分配方式为红利再投。投资者可于红利到账日的当日申请赎回分配的红利份额，若投资者继续持有分配的红利份额，分配的红利份额将参与后续理财产品投资收益分配。</w:t>
      </w:r>
    </w:p>
    <w:p>
      <w:pPr>
        <w:keepNext w:val="0"/>
        <w:keepLines w:val="0"/>
        <w:pageBreakBefore w:val="0"/>
        <w:numPr>
          <w:ilvl w:val="0"/>
          <w:numId w:val="14"/>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若当日净收益等于零，则投资者理财产品份额不变。</w:t>
      </w:r>
    </w:p>
    <w:p>
      <w:pPr>
        <w:keepNext w:val="0"/>
        <w:keepLines w:val="0"/>
        <w:pageBreakBefore w:val="0"/>
        <w:numPr>
          <w:ilvl w:val="0"/>
          <w:numId w:val="14"/>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若当日净收益小于零，则等比缩减投资者持有的理财产品份额，投资者将出现投资损失。</w:t>
      </w:r>
    </w:p>
    <w:p>
      <w:pPr>
        <w:keepNext w:val="0"/>
        <w:keepLines w:val="0"/>
        <w:pageBreakBefore w:val="0"/>
        <w:numPr>
          <w:ilvl w:val="0"/>
          <w:numId w:val="2"/>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情景示例</w:t>
      </w:r>
    </w:p>
    <w:p>
      <w:pPr>
        <w:keepNext w:val="0"/>
        <w:keepLines w:val="0"/>
        <w:pageBreakBefore w:val="0"/>
        <w:wordWrap/>
        <w:topLinePunct w:val="0"/>
        <w:autoSpaceDE/>
        <w:autoSpaceDN/>
        <w:bidi w:val="0"/>
        <w:ind w:firstLine="420" w:firstLineChars="200"/>
        <w:textAlignment w:val="auto"/>
        <w:rPr>
          <w:rFonts w:hint="eastAsia" w:ascii="楷体" w:hAnsi="楷体" w:eastAsia="楷体" w:cs="楷体"/>
          <w:szCs w:val="21"/>
        </w:rPr>
      </w:pPr>
      <w:r>
        <w:rPr>
          <w:rFonts w:hint="eastAsia" w:ascii="楷体" w:hAnsi="楷体" w:eastAsia="楷体" w:cs="楷体"/>
          <w:szCs w:val="21"/>
        </w:rPr>
        <w:t>以下示例采用模拟数据计算，不作为最终收益的计算依据：</w:t>
      </w:r>
    </w:p>
    <w:p>
      <w:pPr>
        <w:pStyle w:val="2"/>
        <w:keepNext w:val="0"/>
        <w:keepLines w:val="0"/>
        <w:pageBreakBefore w:val="0"/>
        <w:wordWrap/>
        <w:topLinePunct w:val="0"/>
        <w:autoSpaceDE/>
        <w:autoSpaceDN/>
        <w:bidi w:val="0"/>
        <w:spacing w:before="0"/>
        <w:ind w:left="0" w:firstLine="420" w:firstLineChars="200"/>
        <w:textAlignment w:val="auto"/>
        <w:rPr>
          <w:rFonts w:hint="eastAsia"/>
          <w:sz w:val="21"/>
          <w:szCs w:val="21"/>
        </w:rPr>
      </w:pPr>
      <w:r>
        <w:rPr>
          <w:rFonts w:hint="eastAsia" w:ascii="楷体" w:hAnsi="楷体" w:eastAsia="楷体" w:cs="楷体"/>
          <w:sz w:val="21"/>
          <w:szCs w:val="21"/>
        </w:rPr>
        <w:t>投资者于T日（假定为某周一，工作日）投资1,000,000.00元申购本产品，T+1确认申购份额为1,000,000.00份。当产品运作至T+7且期间没有赎回时，</w:t>
      </w:r>
      <w:r>
        <w:rPr>
          <w:rFonts w:hint="eastAsia" w:ascii="楷体" w:hAnsi="楷体" w:eastAsia="楷体" w:cs="楷体"/>
          <w:sz w:val="21"/>
          <w:szCs w:val="21"/>
          <w:lang w:eastAsia="zh-CN"/>
        </w:rPr>
        <w:t>投资者</w:t>
      </w:r>
      <w:r>
        <w:rPr>
          <w:rFonts w:hint="eastAsia" w:ascii="楷体" w:hAnsi="楷体" w:eastAsia="楷体" w:cs="楷体"/>
          <w:sz w:val="21"/>
          <w:szCs w:val="21"/>
        </w:rPr>
        <w:t>收益情况如下表：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68"/>
        <w:gridCol w:w="2373"/>
        <w:gridCol w:w="2373"/>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87" w:type="pct"/>
            <w:gridSpan w:val="2"/>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估值日</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万份收益</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持有份额</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每日收益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bookmarkStart w:id="0" w:name="OLE_LINK1" w:colFirst="2" w:colLast="2"/>
            <w:r>
              <w:rPr>
                <w:rFonts w:hint="eastAsia" w:ascii="楷体" w:hAnsi="楷体" w:eastAsia="楷体" w:cs="楷体"/>
                <w:szCs w:val="21"/>
              </w:rPr>
              <w:t>周二</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T+1</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0.7001</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1,000,000.00</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周三</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T+2</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0.7045</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1,000,070.01</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70.45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周四</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T+3</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0.7077</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1,000,140.46</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周五</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T+4</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0.8012</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1,000,211.24</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周六</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T+5</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0.8045</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1,000,291.38</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周日</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T+6</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0.8099</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1,000,371.86</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3"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下周一</w:t>
            </w:r>
          </w:p>
        </w:tc>
        <w:tc>
          <w:tcPr>
            <w:tcW w:w="69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T+7</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0.9050</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1,000,452.88</w:t>
            </w:r>
          </w:p>
        </w:tc>
        <w:tc>
          <w:tcPr>
            <w:tcW w:w="1204" w:type="pct"/>
          </w:tcPr>
          <w:p>
            <w:pPr>
              <w:keepNext w:val="0"/>
              <w:keepLines w:val="0"/>
              <w:pageBreakBefore w:val="0"/>
              <w:wordWrap/>
              <w:topLinePunct w:val="0"/>
              <w:autoSpaceDE/>
              <w:autoSpaceDN/>
              <w:bidi w:val="0"/>
              <w:jc w:val="center"/>
              <w:textAlignment w:val="auto"/>
              <w:rPr>
                <w:rFonts w:hint="eastAsia" w:ascii="楷体" w:hAnsi="楷体" w:eastAsia="楷体" w:cs="楷体"/>
                <w:szCs w:val="21"/>
              </w:rPr>
            </w:pPr>
            <w:r>
              <w:rPr>
                <w:rFonts w:hint="eastAsia" w:ascii="楷体" w:hAnsi="楷体" w:eastAsia="楷体" w:cs="楷体"/>
                <w:szCs w:val="21"/>
              </w:rPr>
              <w:t>90.54</w:t>
            </w:r>
          </w:p>
        </w:tc>
      </w:tr>
      <w:bookmarkEnd w:id="0"/>
    </w:tbl>
    <w:p>
      <w:pPr>
        <w:keepNext w:val="0"/>
        <w:keepLines w:val="0"/>
        <w:pageBreakBefore w:val="0"/>
        <w:wordWrap/>
        <w:topLinePunct w:val="0"/>
        <w:autoSpaceDE/>
        <w:autoSpaceDN/>
        <w:bidi w:val="0"/>
        <w:ind w:firstLine="420" w:firstLineChars="200"/>
        <w:textAlignment w:val="auto"/>
        <w:rPr>
          <w:rFonts w:hint="eastAsia" w:ascii="楷体" w:hAnsi="楷体" w:eastAsia="楷体" w:cs="楷体"/>
          <w:szCs w:val="21"/>
        </w:rPr>
      </w:pPr>
      <w:r>
        <w:rPr>
          <w:rFonts w:hint="eastAsia" w:ascii="楷体" w:hAnsi="楷体" w:eastAsia="楷体" w:cs="楷体"/>
          <w:szCs w:val="21"/>
        </w:rPr>
        <w:t>每日收益=持有份额*每万份收益/10000。</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T+1日收益=1,000,000.00*（0.7001/10000）=70.01元，累计收益70.01元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T+2日收益=1,000,070.01*（0.7045/10000）=70.45元，累计收益140.46元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T+3日收益=1,000,140.46*（0.7077/10000）=70.78元，累计收益211.24元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T+4日收益=1,000,211.24*（0.8012/10000）=80.14元，累计收益291.38元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T+5日收益=1,000,291.38*（0.8045/10000）=80.47元，累计收益371.86元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T+6日收益=1,000,371.86*（0.8099/10000）=81.02元，累计收益452.88元</w:t>
      </w:r>
    </w:p>
    <w:p>
      <w:pPr>
        <w:keepNext w:val="0"/>
        <w:keepLines w:val="0"/>
        <w:pageBreakBefore w:val="0"/>
        <w:wordWrap/>
        <w:topLinePunct w:val="0"/>
        <w:autoSpaceDE/>
        <w:autoSpaceDN/>
        <w:bidi w:val="0"/>
        <w:ind w:firstLine="420" w:firstLineChars="200"/>
        <w:jc w:val="left"/>
        <w:textAlignment w:val="auto"/>
        <w:rPr>
          <w:rFonts w:hint="eastAsia" w:ascii="楷体" w:hAnsi="楷体" w:eastAsia="楷体" w:cs="楷体"/>
          <w:szCs w:val="21"/>
        </w:rPr>
      </w:pPr>
      <w:r>
        <w:rPr>
          <w:rFonts w:hint="eastAsia" w:ascii="楷体" w:hAnsi="楷体" w:eastAsia="楷体" w:cs="楷体"/>
          <w:szCs w:val="21"/>
        </w:rPr>
        <w:t>T+7日收益=1,000,452.88*（0.9050/10000）=90.54元，累计收益543.42元</w:t>
      </w:r>
    </w:p>
    <w:p>
      <w:pPr>
        <w:keepNext w:val="0"/>
        <w:keepLines w:val="0"/>
        <w:pageBreakBefore w:val="0"/>
        <w:wordWrap/>
        <w:topLinePunct w:val="0"/>
        <w:autoSpaceDE/>
        <w:autoSpaceDN/>
        <w:bidi w:val="0"/>
        <w:ind w:firstLine="420" w:firstLineChars="200"/>
        <w:textAlignment w:val="auto"/>
        <w:rPr>
          <w:rFonts w:hint="eastAsia" w:ascii="楷体" w:hAnsi="楷体" w:eastAsia="楷体" w:cs="楷体"/>
          <w:szCs w:val="21"/>
        </w:rPr>
      </w:pPr>
      <w:r>
        <w:rPr>
          <w:rFonts w:hint="eastAsia" w:ascii="楷体" w:hAnsi="楷体" w:eastAsia="楷体" w:cs="楷体"/>
          <w:szCs w:val="21"/>
        </w:rPr>
        <w:t>注：当日每万份理财产品已实现收益以产品管理人实际公布为准。</w:t>
      </w:r>
    </w:p>
    <w:p>
      <w:pPr>
        <w:pStyle w:val="2"/>
        <w:keepNext w:val="0"/>
        <w:keepLines w:val="0"/>
        <w:pageBreakBefore w:val="0"/>
        <w:widowControl w:val="0"/>
        <w:kinsoku/>
        <w:wordWrap/>
        <w:overflowPunct/>
        <w:topLinePunct w:val="0"/>
        <w:autoSpaceDE/>
        <w:autoSpaceDN/>
        <w:bidi w:val="0"/>
        <w:adjustRightInd w:val="0"/>
        <w:snapToGrid/>
        <w:spacing w:before="0"/>
        <w:ind w:left="0" w:firstLine="422" w:firstLineChars="200"/>
        <w:jc w:val="both"/>
        <w:textAlignment w:val="auto"/>
      </w:pPr>
      <w:r>
        <w:rPr>
          <w:rFonts w:hint="eastAsia" w:ascii="楷体" w:hAnsi="楷体" w:eastAsia="楷体"/>
          <w:b/>
          <w:bCs/>
          <w:kern w:val="2"/>
          <w:sz w:val="21"/>
        </w:rPr>
        <w:t>最不利投资情形：如出现债券发行人不兑付债券、回购等交易对手违约或其他底层资产融资人违约等极端情况，产品运作到期后投资者无收益，并将损失全部投资本金。</w:t>
      </w:r>
    </w:p>
    <w:p>
      <w:pPr>
        <w:keepNext w:val="0"/>
        <w:keepLines w:val="0"/>
        <w:pageBreakBefore w:val="0"/>
        <w:numPr>
          <w:ilvl w:val="0"/>
          <w:numId w:val="2"/>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产品费用</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szCs w:val="21"/>
        </w:rPr>
        <w:t>本产品费用包括托管费、销售服务费、投资管理费以及产品运作和清算中产生的其他费用等。</w:t>
      </w:r>
      <w:r>
        <w:rPr>
          <w:rFonts w:hint="eastAsia" w:ascii="楷体" w:hAnsi="楷体" w:eastAsia="楷体" w:cs="Calibri"/>
          <w:szCs w:val="21"/>
        </w:rPr>
        <w:t>计提方法如下:</w:t>
      </w:r>
    </w:p>
    <w:p>
      <w:pPr>
        <w:keepNext w:val="0"/>
        <w:keepLines w:val="0"/>
        <w:pageBreakBefore w:val="0"/>
        <w:numPr>
          <w:ilvl w:val="0"/>
          <w:numId w:val="15"/>
        </w:numPr>
        <w:tabs>
          <w:tab w:val="left" w:pos="728"/>
        </w:tabs>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cs="Calibri"/>
          <w:szCs w:val="21"/>
        </w:rPr>
        <w:t>托管费：每日计提，</w:t>
      </w:r>
      <w:r>
        <w:rPr>
          <w:rFonts w:hint="eastAsia" w:ascii="楷体" w:hAnsi="楷体" w:eastAsia="楷体"/>
          <w:szCs w:val="21"/>
        </w:rPr>
        <w:t>每日应计提的托管费＝当日理财产品份额×托管费率÷</w:t>
      </w:r>
      <w:r>
        <w:rPr>
          <w:rFonts w:ascii="楷体" w:hAnsi="楷体" w:eastAsia="楷体"/>
          <w:szCs w:val="21"/>
        </w:rPr>
        <w:t>365</w:t>
      </w:r>
    </w:p>
    <w:p>
      <w:pPr>
        <w:keepNext w:val="0"/>
        <w:keepLines w:val="0"/>
        <w:pageBreakBefore w:val="0"/>
        <w:numPr>
          <w:ilvl w:val="0"/>
          <w:numId w:val="15"/>
        </w:numPr>
        <w:tabs>
          <w:tab w:val="left" w:pos="728"/>
        </w:tabs>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cs="Calibri"/>
          <w:szCs w:val="21"/>
        </w:rPr>
        <w:t>销售服务费：每日计提，</w:t>
      </w:r>
      <w:r>
        <w:rPr>
          <w:rFonts w:hint="eastAsia" w:ascii="楷体" w:hAnsi="楷体" w:eastAsia="楷体"/>
          <w:szCs w:val="21"/>
        </w:rPr>
        <w:t>每日应计提的销售服务费＝当日理财产品份额×销售服务费率÷</w:t>
      </w:r>
      <w:r>
        <w:rPr>
          <w:rFonts w:ascii="楷体" w:hAnsi="楷体" w:eastAsia="楷体"/>
          <w:szCs w:val="21"/>
        </w:rPr>
        <w:t>365</w:t>
      </w:r>
    </w:p>
    <w:p>
      <w:pPr>
        <w:keepNext w:val="0"/>
        <w:keepLines w:val="0"/>
        <w:pageBreakBefore w:val="0"/>
        <w:numPr>
          <w:ilvl w:val="0"/>
          <w:numId w:val="15"/>
        </w:numPr>
        <w:tabs>
          <w:tab w:val="left" w:pos="728"/>
        </w:tabs>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cs="Calibri"/>
          <w:szCs w:val="21"/>
        </w:rPr>
        <w:t>投资管理费：每日计提，</w:t>
      </w:r>
      <w:r>
        <w:rPr>
          <w:rFonts w:hint="eastAsia" w:ascii="楷体" w:hAnsi="楷体" w:eastAsia="楷体"/>
          <w:szCs w:val="21"/>
        </w:rPr>
        <w:t>每日应计提的投资管理费＝当日理财产品份额×投资管理费率÷</w:t>
      </w:r>
      <w:r>
        <w:rPr>
          <w:rFonts w:ascii="楷体" w:hAnsi="楷体" w:eastAsia="楷体"/>
          <w:szCs w:val="21"/>
        </w:rPr>
        <w:t>365</w:t>
      </w:r>
    </w:p>
    <w:p>
      <w:pPr>
        <w:keepNext w:val="0"/>
        <w:keepLines w:val="0"/>
        <w:pageBreakBefore w:val="0"/>
        <w:numPr>
          <w:ilvl w:val="0"/>
          <w:numId w:val="15"/>
        </w:numPr>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szCs w:val="21"/>
        </w:rPr>
        <w:t>产品运作和清算中产生的交易手续费、注册登记费、账户服务费、审计费、及其他应由本产品承担的费用从产品中列支。</w:t>
      </w:r>
    </w:p>
    <w:p>
      <w:pPr>
        <w:keepNext w:val="0"/>
        <w:keepLines w:val="0"/>
        <w:pageBreakBefore w:val="0"/>
        <w:numPr>
          <w:ilvl w:val="0"/>
          <w:numId w:val="15"/>
        </w:numPr>
        <w:wordWrap/>
        <w:topLinePunct w:val="0"/>
        <w:autoSpaceDE/>
        <w:autoSpaceDN/>
        <w:bidi w:val="0"/>
        <w:ind w:left="0" w:firstLine="420" w:firstLineChars="200"/>
        <w:textAlignment w:val="auto"/>
      </w:pPr>
      <w:r>
        <w:rPr>
          <w:rFonts w:hint="eastAsia" w:ascii="楷体" w:hAnsi="楷体" w:eastAsia="楷体"/>
          <w:szCs w:val="21"/>
        </w:rPr>
        <w:t>费用计算四舍五入保留至小数点后两位。</w:t>
      </w:r>
    </w:p>
    <w:p>
      <w:pPr>
        <w:keepNext w:val="0"/>
        <w:keepLines w:val="0"/>
        <w:pageBreakBefore w:val="0"/>
        <w:numPr>
          <w:ilvl w:val="0"/>
          <w:numId w:val="15"/>
        </w:numPr>
        <w:wordWrap/>
        <w:topLinePunct w:val="0"/>
        <w:autoSpaceDE/>
        <w:autoSpaceDN/>
        <w:bidi w:val="0"/>
        <w:ind w:left="0" w:firstLine="420" w:firstLineChars="200"/>
        <w:textAlignment w:val="auto"/>
        <w:rPr>
          <w:rFonts w:hint="eastAsia" w:ascii="楷体" w:hAnsi="楷体" w:eastAsia="楷体"/>
          <w:szCs w:val="21"/>
        </w:rPr>
      </w:pPr>
      <w:r>
        <w:rPr>
          <w:rFonts w:hint="eastAsia" w:ascii="楷体" w:hAnsi="楷体" w:eastAsia="楷体"/>
          <w:szCs w:val="21"/>
        </w:rPr>
        <w:t>本产品不收取认购费用、申购费用、赎回费用。</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cs="楷体"/>
          <w:szCs w:val="21"/>
        </w:rPr>
        <w:t>产品管理人有权根据市场情况等</w:t>
      </w:r>
      <w:r>
        <w:rPr>
          <w:rFonts w:hint="eastAsia" w:ascii="楷体" w:hAnsi="楷体" w:eastAsia="楷体" w:cs="楷体"/>
          <w:szCs w:val="21"/>
          <w:lang w:val="en-US" w:eastAsia="zh-CN"/>
        </w:rPr>
        <w:t>因素</w:t>
      </w:r>
      <w:r>
        <w:rPr>
          <w:rFonts w:hint="eastAsia" w:ascii="楷体" w:hAnsi="楷体" w:eastAsia="楷体" w:cs="楷体"/>
          <w:szCs w:val="21"/>
        </w:rPr>
        <w:t>调整上述各项费用费率，产品管理人将于调整事项生效前2个工作日通过短信</w:t>
      </w:r>
      <w:r>
        <w:rPr>
          <w:rFonts w:hint="eastAsia" w:ascii="楷体" w:hAnsi="楷体" w:eastAsia="楷体" w:cs="楷体"/>
          <w:szCs w:val="21"/>
          <w:lang w:eastAsia="zh-CN"/>
        </w:rPr>
        <w:t>、</w:t>
      </w:r>
      <w:r>
        <w:rPr>
          <w:rFonts w:hint="eastAsia" w:ascii="楷体" w:hAnsi="楷体" w:eastAsia="楷体" w:cs="楷体"/>
          <w:szCs w:val="21"/>
        </w:rPr>
        <w:t>苏银理财有限责任公司官方网站（www.suyinwealth.com）、销售机构电子渠道和营业网点等方式进行信息披露。</w:t>
      </w:r>
      <w:r>
        <w:rPr>
          <w:rFonts w:hint="eastAsia" w:ascii="楷体" w:hAnsi="楷体" w:eastAsia="楷体"/>
          <w:szCs w:val="21"/>
        </w:rPr>
        <w:t>如投资者不接受的，可在公告约定的期限内赎回本产品，此种情况下产品管理人将可能开放赎回，具体以届时产品管理人公告为准</w:t>
      </w:r>
      <w:r>
        <w:rPr>
          <w:rFonts w:hint="eastAsia" w:ascii="楷体" w:hAnsi="楷体" w:eastAsia="楷体"/>
          <w:szCs w:val="21"/>
          <w:lang w:eastAsia="zh-CN"/>
        </w:rPr>
        <w:t>。</w:t>
      </w:r>
      <w:r>
        <w:rPr>
          <w:rFonts w:hint="eastAsia" w:ascii="楷体" w:hAnsi="楷体" w:eastAsia="楷体"/>
          <w:szCs w:val="21"/>
        </w:rPr>
        <w:t>若本理财产品的投资者不接受上述调整，可及时通过销售机构赎回本产品；若本理财产品投资者未在约定的时间内赎回本产品，则视为本理财产品投资者接受相关调整且同意继续持有本理财产品。</w:t>
      </w:r>
    </w:p>
    <w:p>
      <w:pPr>
        <w:keepNext w:val="0"/>
        <w:keepLines w:val="0"/>
        <w:pageBreakBefore w:val="0"/>
        <w:numPr>
          <w:ilvl w:val="0"/>
          <w:numId w:val="2"/>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产品估值</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 w:val="21"/>
          <w:szCs w:val="21"/>
        </w:rPr>
      </w:pPr>
      <w:r>
        <w:rPr>
          <w:rFonts w:hint="eastAsia" w:ascii="楷体" w:hAnsi="楷体" w:eastAsia="楷体" w:cs="Calibri"/>
          <w:b w:val="0"/>
          <w:bCs/>
          <w:sz w:val="21"/>
          <w:szCs w:val="21"/>
        </w:rPr>
        <w:t>估值对象</w:t>
      </w:r>
    </w:p>
    <w:p>
      <w:pPr>
        <w:keepNext w:val="0"/>
        <w:keepLines w:val="0"/>
        <w:pageBreakBefore w:val="0"/>
        <w:wordWrap/>
        <w:topLinePunct w:val="0"/>
        <w:autoSpaceDE/>
        <w:autoSpaceDN/>
        <w:bidi w:val="0"/>
        <w:ind w:firstLine="420" w:firstLineChars="200"/>
        <w:textAlignment w:val="auto"/>
        <w:rPr>
          <w:rFonts w:hint="eastAsia" w:ascii="楷体" w:hAnsi="楷体" w:eastAsia="楷体"/>
          <w:sz w:val="21"/>
          <w:szCs w:val="21"/>
        </w:rPr>
      </w:pPr>
      <w:r>
        <w:rPr>
          <w:rFonts w:hint="eastAsia" w:ascii="楷体" w:hAnsi="楷体" w:eastAsia="楷体"/>
          <w:sz w:val="21"/>
          <w:szCs w:val="21"/>
        </w:rPr>
        <w:t>本产品所拥有的各类证券、银行存款、应收款项及其它资产</w:t>
      </w:r>
      <w:r>
        <w:rPr>
          <w:rFonts w:hint="eastAsia" w:ascii="楷体" w:hAnsi="楷体" w:eastAsia="楷体"/>
          <w:sz w:val="21"/>
          <w:szCs w:val="21"/>
          <w:lang w:val="en-US" w:eastAsia="zh-CN"/>
        </w:rPr>
        <w:t>及</w:t>
      </w:r>
      <w:r>
        <w:rPr>
          <w:rFonts w:hint="eastAsia" w:ascii="楷体" w:hAnsi="楷体" w:eastAsia="楷体"/>
          <w:sz w:val="21"/>
          <w:szCs w:val="21"/>
        </w:rPr>
        <w:t>负债。</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 w:val="21"/>
          <w:szCs w:val="21"/>
        </w:rPr>
      </w:pPr>
      <w:r>
        <w:rPr>
          <w:rFonts w:hint="eastAsia" w:ascii="楷体" w:hAnsi="楷体" w:eastAsia="楷体" w:cs="Calibri"/>
          <w:b w:val="0"/>
          <w:bCs/>
          <w:sz w:val="21"/>
          <w:szCs w:val="21"/>
        </w:rPr>
        <w:t>估值要求</w:t>
      </w:r>
    </w:p>
    <w:p>
      <w:pPr>
        <w:keepNext w:val="0"/>
        <w:keepLines w:val="0"/>
        <w:pageBreakBefore w:val="0"/>
        <w:tabs>
          <w:tab w:val="left" w:pos="728"/>
        </w:tabs>
        <w:wordWrap/>
        <w:topLinePunct w:val="0"/>
        <w:autoSpaceDE/>
        <w:autoSpaceDN/>
        <w:bidi w:val="0"/>
        <w:ind w:firstLine="420" w:firstLineChars="200"/>
        <w:textAlignment w:val="auto"/>
        <w:rPr>
          <w:rFonts w:hint="eastAsia" w:ascii="楷体" w:hAnsi="楷体" w:eastAsia="楷体" w:cs="Calibri"/>
          <w:sz w:val="21"/>
          <w:szCs w:val="21"/>
        </w:rPr>
      </w:pPr>
      <w:r>
        <w:rPr>
          <w:rFonts w:hint="eastAsia" w:ascii="楷体" w:hAnsi="楷体" w:eastAsia="楷体" w:cs="Calibri"/>
          <w:sz w:val="21"/>
          <w:szCs w:val="21"/>
        </w:rPr>
        <w:t>本产品资产估值的目的是客观、准确的反映资产净值，确定理财产品资产净值，并为理财产品的收益分配提供计价依据。</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 w:val="21"/>
          <w:szCs w:val="21"/>
        </w:rPr>
      </w:pPr>
      <w:r>
        <w:rPr>
          <w:rFonts w:hint="eastAsia" w:ascii="楷体" w:hAnsi="楷体" w:eastAsia="楷体" w:cs="Calibri"/>
          <w:b w:val="0"/>
          <w:bCs/>
          <w:sz w:val="21"/>
          <w:szCs w:val="21"/>
        </w:rPr>
        <w:t>估值方法</w:t>
      </w:r>
    </w:p>
    <w:p>
      <w:pPr>
        <w:keepNext w:val="0"/>
        <w:keepLines w:val="0"/>
        <w:pageBreakBefore w:val="0"/>
        <w:wordWrap/>
        <w:topLinePunct w:val="0"/>
        <w:autoSpaceDE/>
        <w:autoSpaceDN/>
        <w:bidi w:val="0"/>
        <w:ind w:firstLine="420" w:firstLineChars="200"/>
        <w:textAlignment w:val="auto"/>
        <w:rPr>
          <w:rFonts w:ascii="楷体" w:hAnsi="楷体" w:eastAsia="楷体" w:cs="Calibri"/>
          <w:sz w:val="21"/>
          <w:szCs w:val="21"/>
          <w:highlight w:val="none"/>
        </w:rPr>
      </w:pPr>
      <w:r>
        <w:rPr>
          <w:rFonts w:ascii="楷体" w:hAnsi="楷体" w:eastAsia="楷体" w:cs="Calibri"/>
          <w:sz w:val="21"/>
          <w:szCs w:val="21"/>
          <w:highlight w:val="none"/>
        </w:rPr>
        <w:t>本理财产品估值采用摊余成本法，即计价对象以买入成本列示，按实际利率并考虑其买入时的溢价与折价，在其剩余存续期内摊销，每日计提损益。</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1.</w:t>
      </w:r>
      <w:r>
        <w:rPr>
          <w:rFonts w:ascii="楷体" w:hAnsi="楷体" w:eastAsia="楷体" w:cs="Calibri"/>
          <w:sz w:val="21"/>
          <w:szCs w:val="21"/>
          <w:highlight w:val="none"/>
        </w:rPr>
        <w:t>债券等资产采用溢折价摊销后的成本列示，按票面利率计提应收利息。</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2.</w:t>
      </w:r>
      <w:r>
        <w:rPr>
          <w:rFonts w:ascii="楷体" w:hAnsi="楷体" w:eastAsia="楷体" w:cs="Calibri"/>
          <w:sz w:val="21"/>
          <w:szCs w:val="21"/>
          <w:highlight w:val="none"/>
        </w:rPr>
        <w:t>债券回购以成本列示，按协议利率在实际持有期间内逐日计提利息。</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3.</w:t>
      </w:r>
      <w:r>
        <w:rPr>
          <w:rFonts w:ascii="楷体" w:hAnsi="楷体" w:eastAsia="楷体" w:cs="Calibri"/>
          <w:sz w:val="21"/>
          <w:szCs w:val="21"/>
          <w:highlight w:val="none"/>
        </w:rPr>
        <w:t>银行存款以本金列示，按银行适用利率逐日计提利息。</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4.</w:t>
      </w:r>
      <w:r>
        <w:rPr>
          <w:rFonts w:ascii="楷体" w:hAnsi="楷体" w:eastAsia="楷体" w:cs="Calibri"/>
          <w:sz w:val="21"/>
          <w:szCs w:val="21"/>
          <w:highlight w:val="none"/>
        </w:rPr>
        <w:t>货币市场基金以估值截止时点能够取得的最新每万份收益进行估值。</w:t>
      </w:r>
      <w:r>
        <w:rPr>
          <w:rFonts w:hint="eastAsia" w:ascii="楷体" w:hAnsi="楷体" w:eastAsia="楷体" w:cs="Calibri"/>
          <w:sz w:val="21"/>
          <w:szCs w:val="21"/>
          <w:highlight w:val="none"/>
        </w:rPr>
        <w:br w:type="textWrapping"/>
      </w:r>
      <w:r>
        <w:rPr>
          <w:rFonts w:ascii="楷体" w:hAnsi="楷体" w:eastAsia="楷体" w:cs="Calibri"/>
          <w:sz w:val="21"/>
          <w:szCs w:val="21"/>
          <w:highlight w:val="none"/>
        </w:rPr>
        <w:t xml:space="preserve">    </w:t>
      </w:r>
      <w:r>
        <w:rPr>
          <w:rFonts w:hint="eastAsia" w:ascii="楷体" w:hAnsi="楷体" w:eastAsia="楷体" w:cs="Calibri"/>
          <w:sz w:val="21"/>
          <w:szCs w:val="21"/>
          <w:highlight w:val="none"/>
        </w:rPr>
        <w:t>5.</w:t>
      </w:r>
      <w:r>
        <w:rPr>
          <w:rFonts w:ascii="楷体" w:hAnsi="楷体" w:eastAsia="楷体" w:cs="Calibri"/>
          <w:sz w:val="21"/>
          <w:szCs w:val="21"/>
          <w:highlight w:val="none"/>
        </w:rPr>
        <w:t>投资于信托计划、资产管理计划、基金等资产：按合同约定的估值方案，以信托计划的受托人、资产管理计划或基金的管理人等和资产托管人共同确认的净值或投资收益情况进行估值。</w:t>
      </w:r>
    </w:p>
    <w:p>
      <w:pPr>
        <w:keepNext w:val="0"/>
        <w:keepLines w:val="0"/>
        <w:pageBreakBefore w:val="0"/>
        <w:wordWrap/>
        <w:topLinePunct w:val="0"/>
        <w:autoSpaceDE/>
        <w:autoSpaceDN/>
        <w:bidi w:val="0"/>
        <w:ind w:firstLine="420" w:firstLineChars="200"/>
        <w:textAlignment w:val="auto"/>
        <w:rPr>
          <w:rFonts w:ascii="楷体" w:hAnsi="楷体" w:eastAsia="楷体" w:cs="Calibri"/>
          <w:sz w:val="21"/>
          <w:szCs w:val="21"/>
          <w:highlight w:val="none"/>
        </w:rPr>
      </w:pPr>
      <w:r>
        <w:rPr>
          <w:rFonts w:hint="eastAsia" w:ascii="楷体" w:hAnsi="楷体" w:eastAsia="楷体" w:cs="Calibri"/>
          <w:sz w:val="21"/>
          <w:szCs w:val="21"/>
          <w:highlight w:val="none"/>
        </w:rPr>
        <w:t>6.</w:t>
      </w:r>
      <w:r>
        <w:rPr>
          <w:rFonts w:ascii="楷体" w:hAnsi="楷体" w:eastAsia="楷体" w:cs="Calibri"/>
          <w:sz w:val="21"/>
          <w:szCs w:val="21"/>
          <w:highlight w:val="none"/>
        </w:rPr>
        <w:t>若理财产品存续期间持有其他投资品种，</w:t>
      </w:r>
      <w:r>
        <w:rPr>
          <w:rFonts w:hint="eastAsia" w:ascii="楷体" w:hAnsi="楷体" w:eastAsia="楷体" w:cs="Calibri"/>
          <w:sz w:val="21"/>
          <w:szCs w:val="21"/>
          <w:highlight w:val="none"/>
          <w:lang w:val="en-US" w:eastAsia="zh-CN"/>
        </w:rPr>
        <w:t>按摊余成本法估值</w:t>
      </w:r>
      <w:r>
        <w:rPr>
          <w:rFonts w:ascii="楷体" w:hAnsi="楷体" w:eastAsia="楷体" w:cs="Calibri"/>
          <w:sz w:val="21"/>
          <w:szCs w:val="21"/>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楷体" w:hAnsi="楷体" w:eastAsia="楷体" w:cs="楷体"/>
          <w:sz w:val="21"/>
          <w:szCs w:val="21"/>
          <w:highlight w:val="none"/>
        </w:rPr>
      </w:pPr>
      <w:r>
        <w:rPr>
          <w:rFonts w:hint="eastAsia" w:ascii="楷体" w:hAnsi="楷体" w:eastAsia="楷体" w:cs="楷体"/>
          <w:sz w:val="21"/>
          <w:szCs w:val="21"/>
          <w:highlight w:val="none"/>
        </w:rPr>
        <w:t>7.由于按摊余成本法计价可能会出现被计价对象的其他可参考公允价值指标和摊余成本之间的偏离，为消除或减少因理财产品资产净值的背离导致理财产品产品份额投资者权益的稀释或其他不公平的结果，在实际操作中，理财产品管理人与理财产品托管人将对理财产品持有的估值对象进行重新评估，即“影子定价”。当投资组合的摊余成本与其他可参考公允价值指标产生重大偏离，管理人将按照其它可参考公允价值指标对组合的账面价值进行调整，使理财产品资产净值更能公允地反映理财产品资产价值，确保以摊余成本法计算的理财产品资产净值不会对理财产品投资者造成实质性的损害。其中，当影子定价确定的本产品资产净值与摊余成本法计算的资产净值正偏离度绝对值达到0.5%时，管理人应当暂停接受申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理财产品合同进行财产清算等措施。当出现上述情形时，管理人将依据法律法规规定履行信息披露程序。影子定价与摊余成本法确定的现金管理类产品资产净值的偏离度＝</w:t>
      </w:r>
      <m:oMath>
        <m:f>
          <m:fPr>
            <m:ctrlPr>
              <w:rPr>
                <w:rFonts w:hint="eastAsia" w:ascii="Cambria Math" w:hAnsi="Cambria Math" w:eastAsia="楷体" w:cs="楷体"/>
                <w:sz w:val="21"/>
                <w:szCs w:val="21"/>
                <w:highlight w:val="none"/>
              </w:rPr>
            </m:ctrlPr>
          </m:fPr>
          <m:num>
            <m:r>
              <m:rPr>
                <m:sty m:val="p"/>
              </m:rPr>
              <w:rPr>
                <w:rFonts w:hint="eastAsia" w:ascii="Cambria Math" w:hAnsi="Cambria Math" w:eastAsia="楷体" w:cs="楷体"/>
                <w:sz w:val="21"/>
                <w:szCs w:val="21"/>
                <w:highlight w:val="none"/>
              </w:rPr>
              <m:t>NAVs−NAVa</m:t>
            </m:r>
            <m:ctrlPr>
              <w:rPr>
                <w:rFonts w:hint="eastAsia" w:ascii="Cambria Math" w:hAnsi="Cambria Math" w:eastAsia="楷体" w:cs="楷体"/>
                <w:sz w:val="21"/>
                <w:szCs w:val="21"/>
                <w:highlight w:val="none"/>
              </w:rPr>
            </m:ctrlPr>
          </m:num>
          <m:den>
            <m:r>
              <m:rPr>
                <m:sty m:val="p"/>
              </m:rPr>
              <w:rPr>
                <w:rFonts w:hint="eastAsia" w:ascii="Cambria Math" w:hAnsi="Cambria Math" w:eastAsia="楷体" w:cs="楷体"/>
                <w:sz w:val="21"/>
                <w:szCs w:val="21"/>
                <w:highlight w:val="none"/>
              </w:rPr>
              <m:t>NAVa</m:t>
            </m:r>
            <m:ctrlPr>
              <w:rPr>
                <w:rFonts w:hint="eastAsia" w:ascii="Cambria Math" w:hAnsi="Cambria Math" w:eastAsia="楷体" w:cs="楷体"/>
                <w:sz w:val="21"/>
                <w:szCs w:val="21"/>
                <w:highlight w:val="none"/>
              </w:rPr>
            </m:ctrlPr>
          </m:den>
        </m:f>
      </m:oMath>
      <w:r>
        <w:rPr>
          <w:rFonts w:hint="eastAsia" w:ascii="楷体" w:hAnsi="楷体" w:eastAsia="楷体" w:cs="楷体"/>
          <w:sz w:val="21"/>
          <w:szCs w:val="21"/>
          <w:highlight w:val="none"/>
        </w:rPr>
        <w:t>，其中，NAVs为影子定价确定的现金管理类产品资产净值，NAVa为摊余成本法确定的现金管理类产品资产净值。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楷体" w:hAnsi="楷体" w:eastAsia="楷体" w:cs="Calibri"/>
          <w:sz w:val="21"/>
          <w:szCs w:val="21"/>
          <w:highlight w:val="none"/>
        </w:rPr>
      </w:pPr>
      <w:r>
        <w:rPr>
          <w:rFonts w:hint="eastAsia" w:ascii="楷体" w:hAnsi="楷体" w:eastAsia="楷体" w:cs="Calibri"/>
          <w:sz w:val="21"/>
          <w:szCs w:val="21"/>
          <w:highlight w:val="none"/>
          <w:lang w:val="en-US" w:eastAsia="zh-CN"/>
        </w:rPr>
        <w:t>8</w:t>
      </w:r>
      <w:r>
        <w:rPr>
          <w:rFonts w:hint="eastAsia" w:ascii="楷体" w:hAnsi="楷体" w:eastAsia="楷体" w:cs="Calibri"/>
          <w:sz w:val="21"/>
          <w:szCs w:val="21"/>
          <w:highlight w:val="none"/>
        </w:rPr>
        <w:t>.</w:t>
      </w:r>
      <w:r>
        <w:rPr>
          <w:rFonts w:ascii="楷体" w:hAnsi="楷体" w:eastAsia="楷体" w:cs="Calibri"/>
          <w:sz w:val="21"/>
          <w:szCs w:val="21"/>
          <w:highlight w:val="none"/>
        </w:rPr>
        <w:t>按以上估值方法进行估值时，所造成的误差不作为理财产品估值错误处理。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楷体" w:hAnsi="楷体" w:eastAsia="楷体" w:cs="Calibri"/>
          <w:sz w:val="21"/>
          <w:szCs w:val="21"/>
          <w:highlight w:val="none"/>
        </w:rPr>
      </w:pPr>
      <w:r>
        <w:rPr>
          <w:rFonts w:hint="eastAsia" w:ascii="楷体" w:hAnsi="楷体" w:eastAsia="楷体" w:cs="Calibri"/>
          <w:sz w:val="21"/>
          <w:szCs w:val="21"/>
          <w:highlight w:val="none"/>
          <w:lang w:val="en-US" w:eastAsia="zh-CN"/>
        </w:rPr>
        <w:t>9</w:t>
      </w:r>
      <w:r>
        <w:rPr>
          <w:rFonts w:hint="eastAsia" w:ascii="楷体" w:hAnsi="楷体" w:eastAsia="楷体" w:cs="Calibri"/>
          <w:sz w:val="21"/>
          <w:szCs w:val="21"/>
          <w:highlight w:val="none"/>
        </w:rPr>
        <w:t>.</w:t>
      </w:r>
      <w:r>
        <w:rPr>
          <w:rFonts w:ascii="楷体" w:hAnsi="楷体" w:eastAsia="楷体" w:cs="Calibri"/>
          <w:sz w:val="21"/>
          <w:szCs w:val="21"/>
          <w:highlight w:val="none"/>
        </w:rPr>
        <w:t>扣除项：应由理财产品承担的理财产品费用和税费（如有）</w:t>
      </w:r>
      <w:r>
        <w:rPr>
          <w:rFonts w:hint="eastAsia" w:ascii="楷体" w:hAnsi="楷体" w:eastAsia="楷体" w:cs="Calibri"/>
          <w:sz w:val="21"/>
          <w:szCs w:val="21"/>
          <w:highlight w:val="none"/>
        </w:rPr>
        <w:t>。</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lang w:eastAsia="zh-CN"/>
        </w:rPr>
      </w:pPr>
      <w:r>
        <w:rPr>
          <w:rFonts w:hint="eastAsia" w:ascii="楷体" w:hAnsi="楷体" w:eastAsia="楷体"/>
          <w:sz w:val="21"/>
          <w:szCs w:val="21"/>
          <w:highlight w:val="none"/>
        </w:rPr>
        <w:t>如有新增事项或变更事项，按国家法律法规及监管最新规定执行</w:t>
      </w:r>
      <w:r>
        <w:rPr>
          <w:rFonts w:hint="eastAsia" w:ascii="楷体" w:hAnsi="楷体" w:eastAsia="楷体"/>
          <w:sz w:val="21"/>
          <w:szCs w:val="21"/>
          <w:highlight w:val="none"/>
          <w:lang w:eastAsia="zh-CN"/>
        </w:rPr>
        <w:t>。</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估值错误的处理</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产品管理人和产品托管人将采取必要、适当合理的措施确保产品资产估值的准确性、及时性。当产品单位净值出现错误时，产品管理人应当立即予以纠正，并采取合理的措施防止损失进一步扩大。由于证券交易所、期货交易所、第三方估值机构、登记机构等发送数据错误等非理财产品管理人和托管人原因，或由于其它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w:t>
      </w:r>
      <w:r>
        <w:rPr>
          <w:rFonts w:hint="eastAsia" w:ascii="楷体" w:hAnsi="楷体" w:eastAsia="楷体"/>
          <w:szCs w:val="21"/>
          <w:lang w:val="en-US" w:eastAsia="zh-CN"/>
        </w:rPr>
        <w:t>减轻或</w:t>
      </w:r>
      <w:r>
        <w:rPr>
          <w:rFonts w:hint="eastAsia" w:ascii="楷体" w:hAnsi="楷体" w:eastAsia="楷体"/>
          <w:szCs w:val="21"/>
        </w:rPr>
        <w:t>消除由此造成的影响。</w:t>
      </w:r>
    </w:p>
    <w:p>
      <w:pPr>
        <w:keepNext w:val="0"/>
        <w:keepLines w:val="0"/>
        <w:pageBreakBefore w:val="0"/>
        <w:widowControl w:val="0"/>
        <w:numPr>
          <w:ilvl w:val="0"/>
          <w:numId w:val="16"/>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暂停估值</w:t>
      </w:r>
    </w:p>
    <w:p>
      <w:pPr>
        <w:keepNext w:val="0"/>
        <w:keepLines w:val="0"/>
        <w:pageBreakBefore w:val="0"/>
        <w:wordWrap/>
        <w:topLinePunct w:val="0"/>
        <w:autoSpaceDE/>
        <w:autoSpaceDN/>
        <w:bidi w:val="0"/>
        <w:ind w:firstLine="420" w:firstLineChars="200"/>
        <w:textAlignment w:val="auto"/>
        <w:rPr>
          <w:rFonts w:hint="eastAsia" w:ascii="楷体" w:hAnsi="楷体" w:eastAsia="楷体" w:cs="Calibri"/>
          <w:szCs w:val="21"/>
        </w:rPr>
      </w:pPr>
      <w:r>
        <w:rPr>
          <w:rFonts w:hint="eastAsia" w:ascii="楷体" w:hAnsi="楷体" w:eastAsia="楷体"/>
          <w:szCs w:val="21"/>
        </w:rPr>
        <w:t>理财产品投资所涉及的证券交易所遇法定节假日或其他原因暂停营业时，或因任何不可抗力致使无法准确评估资产价值时，可暂停估值。但估值条件恢复时，将按规定完成估值工作。</w:t>
      </w:r>
    </w:p>
    <w:p>
      <w:pPr>
        <w:keepNext w:val="0"/>
        <w:keepLines w:val="0"/>
        <w:pageBreakBefore w:val="0"/>
        <w:numPr>
          <w:ilvl w:val="0"/>
          <w:numId w:val="2"/>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信息披露</w:t>
      </w:r>
    </w:p>
    <w:p>
      <w:pPr>
        <w:keepNext w:val="0"/>
        <w:keepLines w:val="0"/>
        <w:pageBreakBefore w:val="0"/>
        <w:widowControl w:val="0"/>
        <w:numPr>
          <w:ilvl w:val="0"/>
          <w:numId w:val="17"/>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信息披露方式</w:t>
      </w:r>
    </w:p>
    <w:p>
      <w:pPr>
        <w:keepNext w:val="0"/>
        <w:keepLines w:val="0"/>
        <w:pageBreakBefore w:val="0"/>
        <w:numPr>
          <w:ilvl w:val="0"/>
          <w:numId w:val="18"/>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管理人通过苏银理财有限责任公司官方网站（</w:t>
      </w:r>
      <w:r>
        <w:rPr>
          <w:rFonts w:ascii="楷体" w:hAnsi="楷体" w:eastAsia="楷体" w:cs="Calibri"/>
          <w:szCs w:val="21"/>
        </w:rPr>
        <w:t>www</w:t>
      </w:r>
      <w:r>
        <w:rPr>
          <w:rFonts w:hint="eastAsia" w:ascii="楷体" w:hAnsi="楷体" w:eastAsia="楷体" w:cs="Calibri"/>
          <w:szCs w:val="21"/>
        </w:rPr>
        <w:t>.</w:t>
      </w:r>
      <w:r>
        <w:rPr>
          <w:rFonts w:ascii="楷体" w:hAnsi="楷体" w:eastAsia="楷体" w:cs="Calibri"/>
          <w:szCs w:val="21"/>
        </w:rPr>
        <w:t>suyinwealth</w:t>
      </w:r>
      <w:r>
        <w:rPr>
          <w:rFonts w:hint="eastAsia" w:ascii="楷体" w:hAnsi="楷体" w:eastAsia="楷体" w:cs="Calibri"/>
          <w:szCs w:val="21"/>
        </w:rPr>
        <w:t>.</w:t>
      </w:r>
      <w:r>
        <w:rPr>
          <w:rFonts w:ascii="楷体" w:hAnsi="楷体" w:eastAsia="楷体" w:cs="Calibri"/>
          <w:szCs w:val="21"/>
        </w:rPr>
        <w:t>com</w:t>
      </w:r>
      <w:r>
        <w:rPr>
          <w:rFonts w:hint="eastAsia" w:ascii="楷体" w:hAnsi="楷体" w:eastAsia="楷体" w:cs="Calibri"/>
          <w:szCs w:val="21"/>
        </w:rPr>
        <w:t>）进行信息披露。</w:t>
      </w:r>
    </w:p>
    <w:p>
      <w:pPr>
        <w:keepNext w:val="0"/>
        <w:keepLines w:val="0"/>
        <w:pageBreakBefore w:val="0"/>
        <w:numPr>
          <w:ilvl w:val="0"/>
          <w:numId w:val="18"/>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管理人将信息披露内容发送销售机构，由销售机构通过短信及销售机构电子渠道和营业网点等方式进行信息披露。</w:t>
      </w:r>
    </w:p>
    <w:p>
      <w:pPr>
        <w:keepNext w:val="0"/>
        <w:keepLines w:val="0"/>
        <w:pageBreakBefore w:val="0"/>
        <w:wordWrap/>
        <w:topLinePunct w:val="0"/>
        <w:autoSpaceDE/>
        <w:autoSpaceDN/>
        <w:bidi w:val="0"/>
        <w:ind w:firstLine="420" w:firstLineChars="200"/>
        <w:textAlignment w:val="auto"/>
      </w:pPr>
      <w:r>
        <w:rPr>
          <w:rFonts w:hint="eastAsia" w:ascii="楷体" w:hAnsi="楷体" w:eastAsia="楷体"/>
          <w:szCs w:val="21"/>
        </w:rPr>
        <w:t>相关信息在发布或发出之日视为通知已送达投资者并生效，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请投资者及时登陆苏银理财有限责任公司官方网站或者向销售机构查询获取披露信息。</w:t>
      </w:r>
    </w:p>
    <w:p>
      <w:pPr>
        <w:keepNext w:val="0"/>
        <w:keepLines w:val="0"/>
        <w:pageBreakBefore w:val="0"/>
        <w:widowControl w:val="0"/>
        <w:numPr>
          <w:ilvl w:val="0"/>
          <w:numId w:val="17"/>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b w:val="0"/>
          <w:bCs/>
          <w:szCs w:val="21"/>
        </w:rPr>
      </w:pPr>
      <w:r>
        <w:rPr>
          <w:rFonts w:hint="eastAsia" w:ascii="楷体" w:hAnsi="楷体" w:eastAsia="楷体" w:cs="Calibri"/>
          <w:b w:val="0"/>
          <w:bCs/>
          <w:szCs w:val="21"/>
        </w:rPr>
        <w:t>信息披露内容及时间</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产品净值披露：管理人在每个开放日披露上一开放日每万份收益和七日年化收益率。</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发行公告：管理人在产品成立后5个工作日内，披露产品成立公告，内容包括理财产品成立日期和募集规模等信息。</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r>
        <w:rPr>
          <w:rFonts w:hint="eastAsia" w:ascii="楷体" w:hAnsi="楷体" w:eastAsia="楷体" w:cs="Calibri"/>
          <w:b/>
          <w:szCs w:val="21"/>
          <w:u w:val="single"/>
        </w:rPr>
        <w:t>管理人将在本理财产品的半年和年度报告中披露本理财产品前</w:t>
      </w:r>
      <w:r>
        <w:rPr>
          <w:rFonts w:ascii="楷体" w:hAnsi="楷体" w:eastAsia="楷体" w:cs="Calibri"/>
          <w:b/>
          <w:szCs w:val="21"/>
          <w:u w:val="single"/>
        </w:rPr>
        <w:t>10名投资者的类别、持有份额及占总份额的比例等信息。</w:t>
      </w:r>
      <w:r>
        <w:rPr>
          <w:rFonts w:hint="eastAsia" w:ascii="楷体" w:hAnsi="楷体" w:eastAsia="楷体" w:cs="Calibri"/>
          <w:b/>
          <w:szCs w:val="21"/>
          <w:u w:val="single"/>
        </w:rPr>
        <w:t>本理财产品存续期间，如出现单一投资者持有产品份额达到或者超过本理财产品总份额</w:t>
      </w:r>
      <w:r>
        <w:rPr>
          <w:rFonts w:ascii="楷体" w:hAnsi="楷体" w:eastAsia="楷体" w:cs="Calibri"/>
          <w:b/>
          <w:szCs w:val="21"/>
          <w:u w:val="single"/>
        </w:rPr>
        <w:t>20%的情形，为保障其他投资者的权益，管理人</w:t>
      </w:r>
      <w:r>
        <w:rPr>
          <w:rFonts w:hint="eastAsia" w:ascii="楷体" w:hAnsi="楷体" w:eastAsia="楷体" w:cs="Calibri"/>
          <w:b/>
          <w:szCs w:val="21"/>
          <w:u w:val="single"/>
        </w:rPr>
        <w:t>将</w:t>
      </w:r>
      <w:r>
        <w:rPr>
          <w:rFonts w:ascii="楷体" w:hAnsi="楷体" w:eastAsia="楷体" w:cs="Calibri"/>
          <w:b/>
          <w:szCs w:val="21"/>
          <w:u w:val="single"/>
        </w:rPr>
        <w:t>在定期报告中披露该投资者的类别、持有份额及占比、持有份额变化情况及产品风险等信息，</w:t>
      </w:r>
      <w:r>
        <w:rPr>
          <w:rFonts w:hint="eastAsia" w:ascii="楷体" w:hAnsi="楷体" w:eastAsia="楷体" w:cs="Calibri"/>
          <w:b/>
          <w:szCs w:val="21"/>
          <w:u w:val="single"/>
        </w:rPr>
        <w:t>监管机构</w:t>
      </w:r>
      <w:r>
        <w:rPr>
          <w:rFonts w:ascii="楷体" w:hAnsi="楷体" w:eastAsia="楷体" w:cs="Calibri"/>
          <w:b/>
          <w:szCs w:val="21"/>
          <w:u w:val="single"/>
        </w:rPr>
        <w:t>认定的特殊情形除外</w:t>
      </w:r>
      <w:r>
        <w:rPr>
          <w:rFonts w:hint="eastAsia" w:ascii="楷体" w:hAnsi="楷体" w:eastAsia="楷体" w:cs="Calibri"/>
          <w:szCs w:val="21"/>
        </w:rPr>
        <w:t>。</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到期公告：管理人在产品终止后5个工作日内，披露产品到期公告，内容包括理财产品的存续期限、终止日期、收费情况和收益分配情况等信息。</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重大事项公告：管理人在发生可能对理财产品投资者或者理财产品收益产生重大事项的事件后2个工作日内发布重大事项公告。</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临时性信息披露：管理人将及时披露国务院银行业监督管理机构规定的其他信息或除重大事项事件以外的其他信息。</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半年度整体报告：每半年披露从事理财业务活动的有关信息。</w:t>
      </w:r>
    </w:p>
    <w:p>
      <w:pPr>
        <w:keepNext w:val="0"/>
        <w:keepLines w:val="0"/>
        <w:pageBreakBefore w:val="0"/>
        <w:numPr>
          <w:ilvl w:val="0"/>
          <w:numId w:val="19"/>
        </w:numPr>
        <w:tabs>
          <w:tab w:val="left" w:pos="728"/>
        </w:tabs>
        <w:wordWrap/>
        <w:topLinePunct w:val="0"/>
        <w:autoSpaceDE/>
        <w:autoSpaceDN/>
        <w:bidi w:val="0"/>
        <w:ind w:left="0" w:firstLine="420" w:firstLineChars="200"/>
        <w:textAlignment w:val="auto"/>
        <w:rPr>
          <w:rFonts w:hint="eastAsia" w:ascii="楷体" w:hAnsi="楷体" w:eastAsia="楷体" w:cs="Calibri"/>
          <w:szCs w:val="21"/>
        </w:rPr>
      </w:pPr>
      <w:r>
        <w:rPr>
          <w:rFonts w:hint="eastAsia" w:ascii="楷体" w:hAnsi="楷体" w:eastAsia="楷体" w:cs="Calibri"/>
          <w:szCs w:val="21"/>
        </w:rPr>
        <w:t>理财账单：管理人每月向投资者提供其所持有的理财产品账单，账单内容包括但不限于投资者持有的理财产品份额、认购金额、份额</w:t>
      </w:r>
      <w:r>
        <w:rPr>
          <w:rFonts w:hint="eastAsia" w:ascii="楷体" w:hAnsi="楷体" w:eastAsia="楷体" w:cs="Calibri"/>
          <w:szCs w:val="21"/>
          <w:lang w:val="en-US" w:eastAsia="zh-CN"/>
        </w:rPr>
        <w:t>单位</w:t>
      </w:r>
      <w:r>
        <w:rPr>
          <w:rFonts w:hint="eastAsia" w:ascii="楷体" w:hAnsi="楷体" w:eastAsia="楷体" w:cs="Calibri"/>
          <w:szCs w:val="21"/>
        </w:rPr>
        <w:t>净值、份额累计净值、资产净值、收益情况、投资者理财交易账户发生的交易明细记录等信息。</w:t>
      </w:r>
    </w:p>
    <w:p>
      <w:pPr>
        <w:keepNext w:val="0"/>
        <w:keepLines w:val="0"/>
        <w:pageBreakBefore w:val="0"/>
        <w:numPr>
          <w:ilvl w:val="0"/>
          <w:numId w:val="2"/>
        </w:numPr>
        <w:tabs>
          <w:tab w:val="left" w:pos="1428"/>
        </w:tabs>
        <w:wordWrap/>
        <w:topLinePunct w:val="0"/>
        <w:autoSpaceDE/>
        <w:autoSpaceDN/>
        <w:bidi w:val="0"/>
        <w:ind w:firstLine="422" w:firstLineChars="200"/>
        <w:textAlignment w:val="auto"/>
        <w:outlineLvl w:val="1"/>
        <w:rPr>
          <w:rFonts w:hint="eastAsia" w:ascii="楷体" w:hAnsi="楷体" w:eastAsia="楷体"/>
          <w:b/>
          <w:szCs w:val="21"/>
        </w:rPr>
      </w:pPr>
      <w:r>
        <w:rPr>
          <w:rFonts w:hint="eastAsia" w:ascii="楷体" w:hAnsi="楷体" w:eastAsia="楷体"/>
          <w:b/>
          <w:szCs w:val="21"/>
        </w:rPr>
        <w:t>其他</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追索条款</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若本理财产品所投资的金融资产到期不能全部偿付导致资产减值甚至本金大幅损失，则苏银理财将以管理人名义，代表理财产品投资者利益行使诉讼权利或者实施其他权利救济措施。</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信息安全</w:t>
      </w:r>
    </w:p>
    <w:p>
      <w:pPr>
        <w:keepNext w:val="0"/>
        <w:keepLines w:val="0"/>
        <w:pageBreakBefore w:val="0"/>
        <w:wordWrap/>
        <w:topLinePunct w:val="0"/>
        <w:autoSpaceDE/>
        <w:autoSpaceDN/>
        <w:bidi w:val="0"/>
        <w:ind w:firstLine="420" w:firstLineChars="200"/>
        <w:textAlignment w:val="auto"/>
        <w:rPr>
          <w:rFonts w:hint="eastAsia" w:ascii="楷体" w:hAnsi="楷体" w:eastAsia="楷体"/>
          <w:szCs w:val="21"/>
        </w:rPr>
      </w:pPr>
      <w:r>
        <w:rPr>
          <w:rFonts w:hint="eastAsia" w:ascii="楷体" w:hAnsi="楷体" w:eastAsia="楷体"/>
          <w:szCs w:val="21"/>
        </w:rPr>
        <w:t>苏银理财及销售机构将据相关法律、法规严格履行投资者信息保密责任，除监管机构或司法机关等有权机构外，不得对其他第三方提供任何投资者信息。</w:t>
      </w:r>
    </w:p>
    <w:p>
      <w:pPr>
        <w:keepNext w:val="0"/>
        <w:keepLines w:val="0"/>
        <w:pageBreakBefore w:val="0"/>
        <w:widowControl w:val="0"/>
        <w:numPr>
          <w:ilvl w:val="0"/>
          <w:numId w:val="20"/>
        </w:numPr>
        <w:tabs>
          <w:tab w:val="left" w:pos="993"/>
        </w:tabs>
        <w:kinsoku/>
        <w:wordWrap/>
        <w:overflowPunct/>
        <w:topLinePunct w:val="0"/>
        <w:autoSpaceDE/>
        <w:autoSpaceDN/>
        <w:bidi w:val="0"/>
        <w:adjustRightInd/>
        <w:snapToGrid/>
        <w:ind w:left="0" w:leftChars="0" w:firstLine="420" w:firstLineChars="200"/>
        <w:textAlignment w:val="auto"/>
        <w:rPr>
          <w:rFonts w:hint="eastAsia" w:ascii="楷体" w:hAnsi="楷体" w:eastAsia="楷体" w:cs="Calibri"/>
          <w:szCs w:val="21"/>
        </w:rPr>
      </w:pPr>
      <w:r>
        <w:rPr>
          <w:rFonts w:hint="eastAsia" w:ascii="楷体" w:hAnsi="楷体" w:eastAsia="楷体" w:cs="Calibri"/>
          <w:szCs w:val="21"/>
        </w:rPr>
        <w:t>争议解决</w:t>
      </w:r>
    </w:p>
    <w:p>
      <w:pPr>
        <w:keepNext w:val="0"/>
        <w:keepLines w:val="0"/>
        <w:pageBreakBefore w:val="0"/>
        <w:wordWrap/>
        <w:topLinePunct w:val="0"/>
        <w:autoSpaceDE/>
        <w:autoSpaceDN/>
        <w:bidi w:val="0"/>
        <w:ind w:firstLine="420" w:firstLineChars="200"/>
        <w:jc w:val="left"/>
        <w:textAlignment w:val="auto"/>
        <w:rPr>
          <w:rFonts w:eastAsia="楷体"/>
        </w:rPr>
      </w:pPr>
      <w:r>
        <w:rPr>
          <w:rFonts w:hint="eastAsia" w:ascii="楷体" w:hAnsi="楷体" w:eastAsia="楷体"/>
          <w:szCs w:val="21"/>
        </w:rPr>
        <w:t>本产品说明书的订立、生效、履行、解释、修改和终止等事项均适用中华人民共和国（为本合同目的，不包括香港特别行政区、澳门特别行政区和台湾地区）法律。因本产品说明书引起的或与本产品说明书有关的任何争议，应当首先通过双方之间的友好协商解决；协商不成的，双方均有权提交产品管理人住所地有管辖权的人民法院诉讼解决。</w:t>
      </w:r>
    </w:p>
    <w:sectPr>
      <w:headerReference r:id="rId5" w:type="first"/>
      <w:headerReference r:id="rId3" w:type="default"/>
      <w:footerReference r:id="rId6" w:type="default"/>
      <w:headerReference r:id="rId4" w:type="even"/>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41</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320" w:lineRule="exact"/>
      <w:ind w:left="20"/>
      <w:jc w:val="both"/>
      <w:rPr>
        <w:rFonts w:hint="eastAsia" w:ascii="楷体" w:hAnsi="楷体" w:eastAsia="楷体" w:cs="黑体"/>
        <w:b/>
        <w:spacing w:val="-2"/>
        <w:sz w:val="24"/>
        <w:szCs w:val="24"/>
      </w:rPr>
    </w:pPr>
    <w:r>
      <w:drawing>
        <wp:anchor distT="0" distB="0" distL="114300" distR="114300" simplePos="0" relativeHeight="251662336" behindDoc="0" locked="0" layoutInCell="1" allowOverlap="1">
          <wp:simplePos x="0" y="0"/>
          <wp:positionH relativeFrom="column">
            <wp:posOffset>4993640</wp:posOffset>
          </wp:positionH>
          <wp:positionV relativeFrom="paragraph">
            <wp:posOffset>-125730</wp:posOffset>
          </wp:positionV>
          <wp:extent cx="1324610" cy="424815"/>
          <wp:effectExtent l="0" t="0" r="0" b="0"/>
          <wp:wrapSquare wrapText="bothSides"/>
          <wp:docPr id="9"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C:\Users\JSYH\Desktop\苏银理财.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24800" cy="424800"/>
                  </a:xfrm>
                  <a:prstGeom prst="rect">
                    <a:avLst/>
                  </a:prstGeom>
                  <a:noFill/>
                  <a:ln>
                    <a:noFill/>
                  </a:ln>
                </pic:spPr>
              </pic:pic>
            </a:graphicData>
          </a:graphic>
        </wp:anchor>
      </w:drawing>
    </w:r>
    <w:r>
      <w:rPr>
        <w:rFonts w:hint="eastAsia" w:ascii="楷体" w:hAnsi="楷体" w:eastAsia="楷体"/>
        <w:b/>
      </w:rPr>
      <w:pict>
        <v:shape id="WordPictureWatermark367128483" o:spid="_x0000_s3077" o:spt="75" type="#_x0000_t75" style="position:absolute;left:0pt;margin-left:-361pt;margin-top:-83.1pt;height:862.85pt;width:1137.35pt;mso-position-horizontal-relative:margin;mso-position-vertical-relative:margin;z-index:-251655168;mso-width-relative:page;mso-height-relative:page;" filled="f" o:preferrelative="t" stroked="f" coordsize="21600,21600" o:allowincell="f">
          <v:path/>
          <v:fill on="f" focussize="0,0"/>
          <v:stroke on="f" joinstyle="miter"/>
          <v:imagedata r:id="rId2" gain="19661f" blacklevel="22938f" o:title="苏银理财"/>
          <o:lock v:ext="edit" aspectratio="t"/>
        </v:shape>
      </w:pict>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3078"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3076"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84D97"/>
    <w:multiLevelType w:val="multilevel"/>
    <w:tmpl w:val="96D84D97"/>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AE4D0C0E"/>
    <w:multiLevelType w:val="multilevel"/>
    <w:tmpl w:val="AE4D0C0E"/>
    <w:lvl w:ilvl="0" w:tentative="0">
      <w:start w:val="1"/>
      <w:numFmt w:val="decimal"/>
      <w:suff w:val="nothing"/>
      <w:lvlText w:val="%1."/>
      <w:lvlJc w:val="left"/>
      <w:pPr>
        <w:tabs>
          <w:tab w:val="left" w:pos="420"/>
        </w:tabs>
        <w:ind w:left="420" w:hanging="420"/>
      </w:pPr>
      <w:rPr>
        <w:rFonts w:hint="default"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34E8ACE"/>
    <w:multiLevelType w:val="multilevel"/>
    <w:tmpl w:val="D34E8ACE"/>
    <w:lvl w:ilvl="0" w:tentative="0">
      <w:start w:val="1"/>
      <w:numFmt w:val="chineseCounting"/>
      <w:suff w:val="nothing"/>
      <w:lvlText w:val="（%1）"/>
      <w:lvlJc w:val="left"/>
      <w:pPr>
        <w:tabs>
          <w:tab w:val="left" w:pos="0"/>
        </w:tabs>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D4FA9CD1"/>
    <w:multiLevelType w:val="singleLevel"/>
    <w:tmpl w:val="D4FA9CD1"/>
    <w:lvl w:ilvl="0" w:tentative="0">
      <w:start w:val="1"/>
      <w:numFmt w:val="decimalEnclosedCircleChinese"/>
      <w:suff w:val="nothing"/>
      <w:lvlText w:val="%1"/>
      <w:lvlJc w:val="left"/>
      <w:pPr>
        <w:tabs>
          <w:tab w:val="left" w:pos="0"/>
        </w:tabs>
        <w:ind w:left="0" w:firstLine="0"/>
      </w:pPr>
      <w:rPr>
        <w:rFonts w:hint="eastAsia" w:ascii="楷体" w:hAnsi="楷体" w:eastAsia="楷体" w:cs="楷体"/>
      </w:rPr>
    </w:lvl>
  </w:abstractNum>
  <w:abstractNum w:abstractNumId="4">
    <w:nsid w:val="D5779E5A"/>
    <w:multiLevelType w:val="multilevel"/>
    <w:tmpl w:val="D5779E5A"/>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FDD3FE11"/>
    <w:multiLevelType w:val="multilevel"/>
    <w:tmpl w:val="FDD3FE11"/>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443B38F"/>
    <w:multiLevelType w:val="multilevel"/>
    <w:tmpl w:val="0443B38F"/>
    <w:lvl w:ilvl="0" w:tentative="0">
      <w:start w:val="1"/>
      <w:numFmt w:val="decimal"/>
      <w:suff w:val="nothing"/>
      <w:lvlText w:val="%1."/>
      <w:lvlJc w:val="left"/>
      <w:pPr>
        <w:tabs>
          <w:tab w:val="left" w:pos="420"/>
        </w:tabs>
        <w:ind w:left="420" w:hanging="420"/>
      </w:pPr>
      <w:rPr>
        <w:rFonts w:hint="default"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7102B14"/>
    <w:multiLevelType w:val="multilevel"/>
    <w:tmpl w:val="07102B14"/>
    <w:lvl w:ilvl="0" w:tentative="0">
      <w:start w:val="1"/>
      <w:numFmt w:val="decimal"/>
      <w:suff w:val="nothing"/>
      <w:lvlText w:val="%1."/>
      <w:lvlJc w:val="left"/>
      <w:pPr>
        <w:ind w:left="2122" w:hanging="4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10C2B17"/>
    <w:multiLevelType w:val="multilevel"/>
    <w:tmpl w:val="110C2B1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CA52050"/>
    <w:multiLevelType w:val="multilevel"/>
    <w:tmpl w:val="1CA52050"/>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0">
    <w:nsid w:val="1FCCED81"/>
    <w:multiLevelType w:val="multilevel"/>
    <w:tmpl w:val="1FCCED81"/>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1D26EBB"/>
    <w:multiLevelType w:val="multilevel"/>
    <w:tmpl w:val="21D26EBB"/>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603F780"/>
    <w:multiLevelType w:val="multilevel"/>
    <w:tmpl w:val="3603F780"/>
    <w:lvl w:ilvl="0" w:tentative="0">
      <w:start w:val="1"/>
      <w:numFmt w:val="decimal"/>
      <w:suff w:val="nothing"/>
      <w:lvlText w:val="%1."/>
      <w:lvlJc w:val="left"/>
      <w:pPr>
        <w:ind w:left="420" w:hanging="420"/>
      </w:pPr>
      <w:rPr>
        <w:rFonts w:hint="default"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3FC5ACE5"/>
    <w:multiLevelType w:val="singleLevel"/>
    <w:tmpl w:val="3FC5ACE5"/>
    <w:lvl w:ilvl="0" w:tentative="0">
      <w:start w:val="1"/>
      <w:numFmt w:val="decimalEnclosedCircleChinese"/>
      <w:suff w:val="nothing"/>
      <w:lvlText w:val="%1　"/>
      <w:lvlJc w:val="left"/>
      <w:pPr>
        <w:ind w:left="0" w:firstLine="400"/>
      </w:pPr>
      <w:rPr>
        <w:rFonts w:hint="eastAsia" w:ascii="楷体" w:hAnsi="楷体" w:eastAsia="楷体" w:cs="楷体"/>
        <w:b w:val="0"/>
        <w:bCs w:val="0"/>
      </w:rPr>
    </w:lvl>
  </w:abstractNum>
  <w:abstractNum w:abstractNumId="14">
    <w:nsid w:val="40CE7009"/>
    <w:multiLevelType w:val="multilevel"/>
    <w:tmpl w:val="40CE7009"/>
    <w:lvl w:ilvl="0" w:tentative="0">
      <w:start w:val="1"/>
      <w:numFmt w:val="decimal"/>
      <w:suff w:val="nothing"/>
      <w:lvlText w:val="%1."/>
      <w:lvlJc w:val="left"/>
      <w:pPr>
        <w:ind w:left="2122" w:hanging="4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3B36EF9"/>
    <w:multiLevelType w:val="multilevel"/>
    <w:tmpl w:val="63B36EF9"/>
    <w:lvl w:ilvl="0" w:tentative="0">
      <w:start w:val="1"/>
      <w:numFmt w:val="chineseCounting"/>
      <w:suff w:val="nothing"/>
      <w:lvlText w:val="（%1）"/>
      <w:lvlJc w:val="left"/>
      <w:pPr>
        <w:tabs>
          <w:tab w:val="left" w:pos="0"/>
        </w:tabs>
        <w:ind w:left="420" w:hanging="420"/>
      </w:pPr>
      <w:rPr>
        <w:rFonts w:hint="eastAsia" w:ascii="宋体" w:hAnsi="宋体" w:eastAsia="楷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6DA47F2C"/>
    <w:multiLevelType w:val="multilevel"/>
    <w:tmpl w:val="6DA47F2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75E52FDD"/>
    <w:multiLevelType w:val="multilevel"/>
    <w:tmpl w:val="75E52FDD"/>
    <w:lvl w:ilvl="0" w:tentative="0">
      <w:start w:val="1"/>
      <w:numFmt w:val="chineseCountingThousand"/>
      <w:suff w:val="nothing"/>
      <w:lvlText w:val="（%1）"/>
      <w:lvlJc w:val="left"/>
      <w:pPr>
        <w:ind w:left="420" w:hanging="420"/>
      </w:pPr>
      <w:rPr>
        <w:rFonts w:hint="eastAsia" w:ascii="楷体" w:hAnsi="楷体" w:eastAsia="楷体" w:cs="楷体"/>
        <w:b w:val="0"/>
        <w:bCs w:val="0"/>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76C6B739"/>
    <w:multiLevelType w:val="multilevel"/>
    <w:tmpl w:val="76C6B739"/>
    <w:lvl w:ilvl="0" w:tentative="0">
      <w:start w:val="1"/>
      <w:numFmt w:val="chineseCountingThousand"/>
      <w:suff w:val="nothing"/>
      <w:lvlText w:val="（%1）"/>
      <w:lvlJc w:val="left"/>
      <w:pPr>
        <w:ind w:left="420" w:hanging="420"/>
      </w:pPr>
      <w:rPr>
        <w:rFonts w:hint="eastAsia" w:ascii="楷体" w:hAnsi="楷体" w:eastAsia="楷体" w:cs="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7DB725C8"/>
    <w:multiLevelType w:val="multilevel"/>
    <w:tmpl w:val="7DB725C8"/>
    <w:lvl w:ilvl="0" w:tentative="0">
      <w:start w:val="1"/>
      <w:numFmt w:val="decimal"/>
      <w:suff w:val="nothing"/>
      <w:lvlText w:val="%1."/>
      <w:lvlJc w:val="left"/>
      <w:pPr>
        <w:ind w:left="420" w:hanging="420"/>
      </w:pPr>
      <w:rPr>
        <w:rFonts w:hint="eastAsia" w:ascii="楷体" w:hAnsi="楷体" w:eastAsia="楷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3"/>
  </w:num>
  <w:num w:numId="2">
    <w:abstractNumId w:val="9"/>
  </w:num>
  <w:num w:numId="3">
    <w:abstractNumId w:val="2"/>
  </w:num>
  <w:num w:numId="4">
    <w:abstractNumId w:val="1"/>
  </w:num>
  <w:num w:numId="5">
    <w:abstractNumId w:val="6"/>
  </w:num>
  <w:num w:numId="6">
    <w:abstractNumId w:val="17"/>
  </w:num>
  <w:num w:numId="7">
    <w:abstractNumId w:val="3"/>
  </w:num>
  <w:num w:numId="8">
    <w:abstractNumId w:val="15"/>
  </w:num>
  <w:num w:numId="9">
    <w:abstractNumId w:val="10"/>
  </w:num>
  <w:num w:numId="10">
    <w:abstractNumId w:val="8"/>
  </w:num>
  <w:num w:numId="11">
    <w:abstractNumId w:val="5"/>
  </w:num>
  <w:num w:numId="12">
    <w:abstractNumId w:val="11"/>
  </w:num>
  <w:num w:numId="13">
    <w:abstractNumId w:val="14"/>
  </w:num>
  <w:num w:numId="14">
    <w:abstractNumId w:val="7"/>
  </w:num>
  <w:num w:numId="15">
    <w:abstractNumId w:val="19"/>
  </w:num>
  <w:num w:numId="16">
    <w:abstractNumId w:val="0"/>
  </w:num>
  <w:num w:numId="17">
    <w:abstractNumId w:val="18"/>
  </w:num>
  <w:num w:numId="18">
    <w:abstractNumId w:val="12"/>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7"/>
    <w:rsid w:val="00001531"/>
    <w:rsid w:val="0000191C"/>
    <w:rsid w:val="00001E2F"/>
    <w:rsid w:val="0000233B"/>
    <w:rsid w:val="00002389"/>
    <w:rsid w:val="00003606"/>
    <w:rsid w:val="000048B0"/>
    <w:rsid w:val="00005B01"/>
    <w:rsid w:val="00006EAF"/>
    <w:rsid w:val="000101E4"/>
    <w:rsid w:val="0001103A"/>
    <w:rsid w:val="00011464"/>
    <w:rsid w:val="00012543"/>
    <w:rsid w:val="000131EF"/>
    <w:rsid w:val="00013628"/>
    <w:rsid w:val="00014334"/>
    <w:rsid w:val="00014EC2"/>
    <w:rsid w:val="000158A7"/>
    <w:rsid w:val="00015A92"/>
    <w:rsid w:val="00015D58"/>
    <w:rsid w:val="00016232"/>
    <w:rsid w:val="00017933"/>
    <w:rsid w:val="000202AB"/>
    <w:rsid w:val="0002052D"/>
    <w:rsid w:val="00020A6F"/>
    <w:rsid w:val="00021007"/>
    <w:rsid w:val="00023A4F"/>
    <w:rsid w:val="00023BA8"/>
    <w:rsid w:val="00023E47"/>
    <w:rsid w:val="000247F9"/>
    <w:rsid w:val="00026143"/>
    <w:rsid w:val="000263ED"/>
    <w:rsid w:val="00026D13"/>
    <w:rsid w:val="00027056"/>
    <w:rsid w:val="000279D8"/>
    <w:rsid w:val="00027E61"/>
    <w:rsid w:val="00027F48"/>
    <w:rsid w:val="0003072E"/>
    <w:rsid w:val="00030D69"/>
    <w:rsid w:val="000315E6"/>
    <w:rsid w:val="00031707"/>
    <w:rsid w:val="00031806"/>
    <w:rsid w:val="00031A38"/>
    <w:rsid w:val="00031BAC"/>
    <w:rsid w:val="00031F80"/>
    <w:rsid w:val="00034890"/>
    <w:rsid w:val="00035045"/>
    <w:rsid w:val="00036007"/>
    <w:rsid w:val="000375C2"/>
    <w:rsid w:val="000401BF"/>
    <w:rsid w:val="000405B1"/>
    <w:rsid w:val="00043555"/>
    <w:rsid w:val="00043D5F"/>
    <w:rsid w:val="000462D8"/>
    <w:rsid w:val="000469D0"/>
    <w:rsid w:val="00046AAA"/>
    <w:rsid w:val="0004768E"/>
    <w:rsid w:val="000503FC"/>
    <w:rsid w:val="00050975"/>
    <w:rsid w:val="00051DB3"/>
    <w:rsid w:val="00054158"/>
    <w:rsid w:val="00054854"/>
    <w:rsid w:val="000553A7"/>
    <w:rsid w:val="00057222"/>
    <w:rsid w:val="00057646"/>
    <w:rsid w:val="00057F4B"/>
    <w:rsid w:val="00060571"/>
    <w:rsid w:val="000617D2"/>
    <w:rsid w:val="00061D74"/>
    <w:rsid w:val="00062791"/>
    <w:rsid w:val="00064F2B"/>
    <w:rsid w:val="000661A6"/>
    <w:rsid w:val="00066F56"/>
    <w:rsid w:val="000677EE"/>
    <w:rsid w:val="00071418"/>
    <w:rsid w:val="00071581"/>
    <w:rsid w:val="00072396"/>
    <w:rsid w:val="0007293A"/>
    <w:rsid w:val="00072D1F"/>
    <w:rsid w:val="0007366C"/>
    <w:rsid w:val="00074189"/>
    <w:rsid w:val="00074306"/>
    <w:rsid w:val="000757BB"/>
    <w:rsid w:val="0007693B"/>
    <w:rsid w:val="000804C2"/>
    <w:rsid w:val="00080C2C"/>
    <w:rsid w:val="00081AD6"/>
    <w:rsid w:val="00082051"/>
    <w:rsid w:val="000848C8"/>
    <w:rsid w:val="000849CB"/>
    <w:rsid w:val="000853F6"/>
    <w:rsid w:val="000867A8"/>
    <w:rsid w:val="00087036"/>
    <w:rsid w:val="00087D83"/>
    <w:rsid w:val="00087EDB"/>
    <w:rsid w:val="00091208"/>
    <w:rsid w:val="000913BF"/>
    <w:rsid w:val="00091907"/>
    <w:rsid w:val="00093C11"/>
    <w:rsid w:val="00094613"/>
    <w:rsid w:val="00094631"/>
    <w:rsid w:val="00096382"/>
    <w:rsid w:val="0009795C"/>
    <w:rsid w:val="00097F80"/>
    <w:rsid w:val="000A2D2D"/>
    <w:rsid w:val="000A2E68"/>
    <w:rsid w:val="000A45AB"/>
    <w:rsid w:val="000B0078"/>
    <w:rsid w:val="000B0690"/>
    <w:rsid w:val="000B3B58"/>
    <w:rsid w:val="000B3D2F"/>
    <w:rsid w:val="000B3EFD"/>
    <w:rsid w:val="000B4410"/>
    <w:rsid w:val="000B659B"/>
    <w:rsid w:val="000B6E9F"/>
    <w:rsid w:val="000C3DB1"/>
    <w:rsid w:val="000C4035"/>
    <w:rsid w:val="000C54ED"/>
    <w:rsid w:val="000C5C02"/>
    <w:rsid w:val="000C6143"/>
    <w:rsid w:val="000C7382"/>
    <w:rsid w:val="000D1ED6"/>
    <w:rsid w:val="000D35BD"/>
    <w:rsid w:val="000D6E4B"/>
    <w:rsid w:val="000D71CF"/>
    <w:rsid w:val="000D7225"/>
    <w:rsid w:val="000D722C"/>
    <w:rsid w:val="000E0485"/>
    <w:rsid w:val="000E2E7D"/>
    <w:rsid w:val="000E34BA"/>
    <w:rsid w:val="000E34F3"/>
    <w:rsid w:val="000E4205"/>
    <w:rsid w:val="000E72A0"/>
    <w:rsid w:val="000E7CF6"/>
    <w:rsid w:val="000F034D"/>
    <w:rsid w:val="000F0433"/>
    <w:rsid w:val="000F1D3C"/>
    <w:rsid w:val="000F3D5D"/>
    <w:rsid w:val="000F4243"/>
    <w:rsid w:val="000F4811"/>
    <w:rsid w:val="000F4ABF"/>
    <w:rsid w:val="000F4B2B"/>
    <w:rsid w:val="000F5B66"/>
    <w:rsid w:val="000F5FF6"/>
    <w:rsid w:val="000F65C5"/>
    <w:rsid w:val="000F7056"/>
    <w:rsid w:val="000F7D2C"/>
    <w:rsid w:val="00100193"/>
    <w:rsid w:val="00100F0C"/>
    <w:rsid w:val="001025A3"/>
    <w:rsid w:val="001036A0"/>
    <w:rsid w:val="0010457E"/>
    <w:rsid w:val="0010540B"/>
    <w:rsid w:val="001065F5"/>
    <w:rsid w:val="0010678E"/>
    <w:rsid w:val="001074AB"/>
    <w:rsid w:val="00110417"/>
    <w:rsid w:val="00110AB0"/>
    <w:rsid w:val="00111E3E"/>
    <w:rsid w:val="0011258E"/>
    <w:rsid w:val="001126F6"/>
    <w:rsid w:val="00112F03"/>
    <w:rsid w:val="00115E7F"/>
    <w:rsid w:val="0011696D"/>
    <w:rsid w:val="00117CE3"/>
    <w:rsid w:val="00121681"/>
    <w:rsid w:val="00121ED8"/>
    <w:rsid w:val="00122035"/>
    <w:rsid w:val="00122F58"/>
    <w:rsid w:val="0012352A"/>
    <w:rsid w:val="00123BCB"/>
    <w:rsid w:val="0012411A"/>
    <w:rsid w:val="001242DE"/>
    <w:rsid w:val="00124929"/>
    <w:rsid w:val="00125B8C"/>
    <w:rsid w:val="0012647A"/>
    <w:rsid w:val="00127044"/>
    <w:rsid w:val="001303B2"/>
    <w:rsid w:val="00130EED"/>
    <w:rsid w:val="00130F7B"/>
    <w:rsid w:val="00131F1B"/>
    <w:rsid w:val="0013364F"/>
    <w:rsid w:val="001336CE"/>
    <w:rsid w:val="00133AAF"/>
    <w:rsid w:val="00133B98"/>
    <w:rsid w:val="0013472F"/>
    <w:rsid w:val="00134733"/>
    <w:rsid w:val="001359ED"/>
    <w:rsid w:val="00135B61"/>
    <w:rsid w:val="00136797"/>
    <w:rsid w:val="001405C2"/>
    <w:rsid w:val="00140B25"/>
    <w:rsid w:val="00142F4F"/>
    <w:rsid w:val="001450DF"/>
    <w:rsid w:val="0014734D"/>
    <w:rsid w:val="00151CC7"/>
    <w:rsid w:val="00152B36"/>
    <w:rsid w:val="001530B2"/>
    <w:rsid w:val="001543E7"/>
    <w:rsid w:val="00154456"/>
    <w:rsid w:val="00154508"/>
    <w:rsid w:val="00154F7A"/>
    <w:rsid w:val="00155B77"/>
    <w:rsid w:val="00156867"/>
    <w:rsid w:val="00157C4D"/>
    <w:rsid w:val="00160569"/>
    <w:rsid w:val="00160CEC"/>
    <w:rsid w:val="00161E2F"/>
    <w:rsid w:val="001624A3"/>
    <w:rsid w:val="001624DA"/>
    <w:rsid w:val="00162AA1"/>
    <w:rsid w:val="00162BF5"/>
    <w:rsid w:val="00164B60"/>
    <w:rsid w:val="00165862"/>
    <w:rsid w:val="00165E23"/>
    <w:rsid w:val="00166B3A"/>
    <w:rsid w:val="00170099"/>
    <w:rsid w:val="00170194"/>
    <w:rsid w:val="00170927"/>
    <w:rsid w:val="0017092A"/>
    <w:rsid w:val="00170A6E"/>
    <w:rsid w:val="00172B90"/>
    <w:rsid w:val="00173A2B"/>
    <w:rsid w:val="00173CE1"/>
    <w:rsid w:val="00174417"/>
    <w:rsid w:val="001749CF"/>
    <w:rsid w:val="001750FE"/>
    <w:rsid w:val="00175E88"/>
    <w:rsid w:val="00175FA5"/>
    <w:rsid w:val="00176B8E"/>
    <w:rsid w:val="001770F3"/>
    <w:rsid w:val="001774A0"/>
    <w:rsid w:val="00177BCC"/>
    <w:rsid w:val="0018179B"/>
    <w:rsid w:val="0018251A"/>
    <w:rsid w:val="00183463"/>
    <w:rsid w:val="001846FB"/>
    <w:rsid w:val="00184D1D"/>
    <w:rsid w:val="001860DF"/>
    <w:rsid w:val="00191737"/>
    <w:rsid w:val="00194E69"/>
    <w:rsid w:val="001968BC"/>
    <w:rsid w:val="00197D8D"/>
    <w:rsid w:val="00197DD9"/>
    <w:rsid w:val="001A059E"/>
    <w:rsid w:val="001A05F5"/>
    <w:rsid w:val="001A1C12"/>
    <w:rsid w:val="001A418D"/>
    <w:rsid w:val="001A422B"/>
    <w:rsid w:val="001A502C"/>
    <w:rsid w:val="001A57DB"/>
    <w:rsid w:val="001A586B"/>
    <w:rsid w:val="001A73F1"/>
    <w:rsid w:val="001A77E8"/>
    <w:rsid w:val="001B1360"/>
    <w:rsid w:val="001B1BB1"/>
    <w:rsid w:val="001B1D26"/>
    <w:rsid w:val="001B1D7F"/>
    <w:rsid w:val="001B1E1E"/>
    <w:rsid w:val="001B25A3"/>
    <w:rsid w:val="001B2F76"/>
    <w:rsid w:val="001B2F82"/>
    <w:rsid w:val="001B396B"/>
    <w:rsid w:val="001B44A7"/>
    <w:rsid w:val="001B4B9C"/>
    <w:rsid w:val="001B57A4"/>
    <w:rsid w:val="001B72EB"/>
    <w:rsid w:val="001B7D0D"/>
    <w:rsid w:val="001B7F6F"/>
    <w:rsid w:val="001C13E9"/>
    <w:rsid w:val="001C3886"/>
    <w:rsid w:val="001C4148"/>
    <w:rsid w:val="001C432A"/>
    <w:rsid w:val="001C469F"/>
    <w:rsid w:val="001C6DD2"/>
    <w:rsid w:val="001C78FF"/>
    <w:rsid w:val="001D0B29"/>
    <w:rsid w:val="001D1C27"/>
    <w:rsid w:val="001D2A8B"/>
    <w:rsid w:val="001D3ED4"/>
    <w:rsid w:val="001D48EE"/>
    <w:rsid w:val="001D49AC"/>
    <w:rsid w:val="001D4B2D"/>
    <w:rsid w:val="001D4BC9"/>
    <w:rsid w:val="001D4FE1"/>
    <w:rsid w:val="001D78FF"/>
    <w:rsid w:val="001E0062"/>
    <w:rsid w:val="001E0387"/>
    <w:rsid w:val="001E223F"/>
    <w:rsid w:val="001E4374"/>
    <w:rsid w:val="001E49AE"/>
    <w:rsid w:val="001E4A82"/>
    <w:rsid w:val="001E4C0D"/>
    <w:rsid w:val="001E4E95"/>
    <w:rsid w:val="001E55CB"/>
    <w:rsid w:val="001E631F"/>
    <w:rsid w:val="001E6744"/>
    <w:rsid w:val="001E68EF"/>
    <w:rsid w:val="001F0A69"/>
    <w:rsid w:val="001F1728"/>
    <w:rsid w:val="001F2658"/>
    <w:rsid w:val="001F3AD6"/>
    <w:rsid w:val="001F3C4B"/>
    <w:rsid w:val="001F3CCB"/>
    <w:rsid w:val="001F63BD"/>
    <w:rsid w:val="001F6775"/>
    <w:rsid w:val="001F69BF"/>
    <w:rsid w:val="00200449"/>
    <w:rsid w:val="00200523"/>
    <w:rsid w:val="0020097F"/>
    <w:rsid w:val="00200DF8"/>
    <w:rsid w:val="0020123C"/>
    <w:rsid w:val="0020196F"/>
    <w:rsid w:val="002024E9"/>
    <w:rsid w:val="002026C0"/>
    <w:rsid w:val="002047F3"/>
    <w:rsid w:val="0020590E"/>
    <w:rsid w:val="00205EB2"/>
    <w:rsid w:val="00205FEC"/>
    <w:rsid w:val="0020639A"/>
    <w:rsid w:val="00210857"/>
    <w:rsid w:val="002119A2"/>
    <w:rsid w:val="00211F5B"/>
    <w:rsid w:val="00213632"/>
    <w:rsid w:val="0021388F"/>
    <w:rsid w:val="00215F66"/>
    <w:rsid w:val="0021712C"/>
    <w:rsid w:val="0022162D"/>
    <w:rsid w:val="00221937"/>
    <w:rsid w:val="002222A4"/>
    <w:rsid w:val="00223EEA"/>
    <w:rsid w:val="00224018"/>
    <w:rsid w:val="0022633B"/>
    <w:rsid w:val="00226F9D"/>
    <w:rsid w:val="00230ED7"/>
    <w:rsid w:val="00230F4A"/>
    <w:rsid w:val="002319B1"/>
    <w:rsid w:val="00231B08"/>
    <w:rsid w:val="00232A54"/>
    <w:rsid w:val="0023376E"/>
    <w:rsid w:val="0023523A"/>
    <w:rsid w:val="00235E45"/>
    <w:rsid w:val="002366EB"/>
    <w:rsid w:val="00236C4F"/>
    <w:rsid w:val="002379DD"/>
    <w:rsid w:val="00237FDB"/>
    <w:rsid w:val="0024053C"/>
    <w:rsid w:val="0024212E"/>
    <w:rsid w:val="002436C1"/>
    <w:rsid w:val="00243DF5"/>
    <w:rsid w:val="00244E6D"/>
    <w:rsid w:val="00245106"/>
    <w:rsid w:val="00245D03"/>
    <w:rsid w:val="0024748B"/>
    <w:rsid w:val="00247A34"/>
    <w:rsid w:val="00247A7D"/>
    <w:rsid w:val="002505A7"/>
    <w:rsid w:val="0025150E"/>
    <w:rsid w:val="00252198"/>
    <w:rsid w:val="00252B51"/>
    <w:rsid w:val="00253997"/>
    <w:rsid w:val="0025423C"/>
    <w:rsid w:val="00254A3C"/>
    <w:rsid w:val="00254A8B"/>
    <w:rsid w:val="00256E57"/>
    <w:rsid w:val="0025744E"/>
    <w:rsid w:val="002579CC"/>
    <w:rsid w:val="0026284C"/>
    <w:rsid w:val="002659F1"/>
    <w:rsid w:val="0026641B"/>
    <w:rsid w:val="002672C8"/>
    <w:rsid w:val="00270665"/>
    <w:rsid w:val="00272261"/>
    <w:rsid w:val="00272C53"/>
    <w:rsid w:val="00272E20"/>
    <w:rsid w:val="00273681"/>
    <w:rsid w:val="00273B34"/>
    <w:rsid w:val="00273B74"/>
    <w:rsid w:val="00274D47"/>
    <w:rsid w:val="00274FAF"/>
    <w:rsid w:val="0027510A"/>
    <w:rsid w:val="00276200"/>
    <w:rsid w:val="002765F4"/>
    <w:rsid w:val="00276883"/>
    <w:rsid w:val="00277498"/>
    <w:rsid w:val="00277C1F"/>
    <w:rsid w:val="002808A9"/>
    <w:rsid w:val="002821D7"/>
    <w:rsid w:val="00282F20"/>
    <w:rsid w:val="002872D2"/>
    <w:rsid w:val="0029004F"/>
    <w:rsid w:val="00291B84"/>
    <w:rsid w:val="00292610"/>
    <w:rsid w:val="00292B19"/>
    <w:rsid w:val="00292B5E"/>
    <w:rsid w:val="00292FFC"/>
    <w:rsid w:val="002932FC"/>
    <w:rsid w:val="0029429C"/>
    <w:rsid w:val="00294431"/>
    <w:rsid w:val="00294B49"/>
    <w:rsid w:val="00295538"/>
    <w:rsid w:val="00297034"/>
    <w:rsid w:val="002A046A"/>
    <w:rsid w:val="002A08ED"/>
    <w:rsid w:val="002A1262"/>
    <w:rsid w:val="002A23E0"/>
    <w:rsid w:val="002A2E20"/>
    <w:rsid w:val="002A32DF"/>
    <w:rsid w:val="002A46D7"/>
    <w:rsid w:val="002A6980"/>
    <w:rsid w:val="002A7DF5"/>
    <w:rsid w:val="002A7E94"/>
    <w:rsid w:val="002B0795"/>
    <w:rsid w:val="002B2620"/>
    <w:rsid w:val="002B3225"/>
    <w:rsid w:val="002B497E"/>
    <w:rsid w:val="002B5694"/>
    <w:rsid w:val="002B605E"/>
    <w:rsid w:val="002B657A"/>
    <w:rsid w:val="002C021F"/>
    <w:rsid w:val="002C1C54"/>
    <w:rsid w:val="002C2056"/>
    <w:rsid w:val="002C23F7"/>
    <w:rsid w:val="002C30A4"/>
    <w:rsid w:val="002C320F"/>
    <w:rsid w:val="002C3367"/>
    <w:rsid w:val="002C622F"/>
    <w:rsid w:val="002C6D69"/>
    <w:rsid w:val="002C7016"/>
    <w:rsid w:val="002C7117"/>
    <w:rsid w:val="002C7CB4"/>
    <w:rsid w:val="002D0706"/>
    <w:rsid w:val="002D29FD"/>
    <w:rsid w:val="002D2AEC"/>
    <w:rsid w:val="002D2C1F"/>
    <w:rsid w:val="002D3635"/>
    <w:rsid w:val="002D5411"/>
    <w:rsid w:val="002D5589"/>
    <w:rsid w:val="002D727A"/>
    <w:rsid w:val="002E00B8"/>
    <w:rsid w:val="002E0589"/>
    <w:rsid w:val="002E1382"/>
    <w:rsid w:val="002E3471"/>
    <w:rsid w:val="002E3A84"/>
    <w:rsid w:val="002E6AD0"/>
    <w:rsid w:val="002E6F55"/>
    <w:rsid w:val="002F0E4E"/>
    <w:rsid w:val="002F2771"/>
    <w:rsid w:val="002F344B"/>
    <w:rsid w:val="002F403C"/>
    <w:rsid w:val="002F561E"/>
    <w:rsid w:val="002F709A"/>
    <w:rsid w:val="002F77A8"/>
    <w:rsid w:val="00301619"/>
    <w:rsid w:val="00301AD3"/>
    <w:rsid w:val="00301E80"/>
    <w:rsid w:val="00302755"/>
    <w:rsid w:val="003039FF"/>
    <w:rsid w:val="00304D18"/>
    <w:rsid w:val="00305A15"/>
    <w:rsid w:val="00306353"/>
    <w:rsid w:val="00306D41"/>
    <w:rsid w:val="00307094"/>
    <w:rsid w:val="00307342"/>
    <w:rsid w:val="00307A5F"/>
    <w:rsid w:val="00310A72"/>
    <w:rsid w:val="0031143A"/>
    <w:rsid w:val="00311C18"/>
    <w:rsid w:val="0031298C"/>
    <w:rsid w:val="00313619"/>
    <w:rsid w:val="00313D52"/>
    <w:rsid w:val="00314235"/>
    <w:rsid w:val="0032098B"/>
    <w:rsid w:val="003222FC"/>
    <w:rsid w:val="003227E7"/>
    <w:rsid w:val="00325D85"/>
    <w:rsid w:val="0032607C"/>
    <w:rsid w:val="00326E7B"/>
    <w:rsid w:val="00327CCE"/>
    <w:rsid w:val="0033166C"/>
    <w:rsid w:val="003324AE"/>
    <w:rsid w:val="00332C6A"/>
    <w:rsid w:val="0033358A"/>
    <w:rsid w:val="00333937"/>
    <w:rsid w:val="003342B8"/>
    <w:rsid w:val="0033504B"/>
    <w:rsid w:val="003362C7"/>
    <w:rsid w:val="00336A5A"/>
    <w:rsid w:val="00337AA0"/>
    <w:rsid w:val="00337DE3"/>
    <w:rsid w:val="00342ADB"/>
    <w:rsid w:val="00343B0F"/>
    <w:rsid w:val="00343D4D"/>
    <w:rsid w:val="0034587E"/>
    <w:rsid w:val="00347006"/>
    <w:rsid w:val="00347D0D"/>
    <w:rsid w:val="003503AE"/>
    <w:rsid w:val="00351D8C"/>
    <w:rsid w:val="0035213A"/>
    <w:rsid w:val="00353419"/>
    <w:rsid w:val="00353F27"/>
    <w:rsid w:val="00355D35"/>
    <w:rsid w:val="00356BEA"/>
    <w:rsid w:val="0035741C"/>
    <w:rsid w:val="00360094"/>
    <w:rsid w:val="003627FB"/>
    <w:rsid w:val="00362826"/>
    <w:rsid w:val="00363EEF"/>
    <w:rsid w:val="0036403D"/>
    <w:rsid w:val="0036406A"/>
    <w:rsid w:val="0036455C"/>
    <w:rsid w:val="003656BF"/>
    <w:rsid w:val="00366074"/>
    <w:rsid w:val="003661FF"/>
    <w:rsid w:val="00367122"/>
    <w:rsid w:val="00367428"/>
    <w:rsid w:val="003676E9"/>
    <w:rsid w:val="0037083D"/>
    <w:rsid w:val="00372402"/>
    <w:rsid w:val="003724FE"/>
    <w:rsid w:val="003726C4"/>
    <w:rsid w:val="003732C5"/>
    <w:rsid w:val="00374086"/>
    <w:rsid w:val="00374DFE"/>
    <w:rsid w:val="003758DB"/>
    <w:rsid w:val="00375BEB"/>
    <w:rsid w:val="00375DA9"/>
    <w:rsid w:val="00377518"/>
    <w:rsid w:val="003800B4"/>
    <w:rsid w:val="003809E0"/>
    <w:rsid w:val="003814E2"/>
    <w:rsid w:val="00381E88"/>
    <w:rsid w:val="003821F9"/>
    <w:rsid w:val="003827CD"/>
    <w:rsid w:val="00383A99"/>
    <w:rsid w:val="00383D6D"/>
    <w:rsid w:val="003852EF"/>
    <w:rsid w:val="003870EE"/>
    <w:rsid w:val="0038729B"/>
    <w:rsid w:val="00387A01"/>
    <w:rsid w:val="003926B7"/>
    <w:rsid w:val="00393452"/>
    <w:rsid w:val="00394C2C"/>
    <w:rsid w:val="00395441"/>
    <w:rsid w:val="00396F85"/>
    <w:rsid w:val="0039723A"/>
    <w:rsid w:val="003A1CB9"/>
    <w:rsid w:val="003A23E5"/>
    <w:rsid w:val="003A27B8"/>
    <w:rsid w:val="003A2B7D"/>
    <w:rsid w:val="003A3D8C"/>
    <w:rsid w:val="003A3E40"/>
    <w:rsid w:val="003A539D"/>
    <w:rsid w:val="003A59F9"/>
    <w:rsid w:val="003A5F79"/>
    <w:rsid w:val="003A5FA1"/>
    <w:rsid w:val="003A6124"/>
    <w:rsid w:val="003A6CA4"/>
    <w:rsid w:val="003A7623"/>
    <w:rsid w:val="003B1725"/>
    <w:rsid w:val="003B242C"/>
    <w:rsid w:val="003B324C"/>
    <w:rsid w:val="003B4CE4"/>
    <w:rsid w:val="003B4D64"/>
    <w:rsid w:val="003B5DFB"/>
    <w:rsid w:val="003B6220"/>
    <w:rsid w:val="003B6329"/>
    <w:rsid w:val="003B76DC"/>
    <w:rsid w:val="003C13CA"/>
    <w:rsid w:val="003C1E93"/>
    <w:rsid w:val="003C2161"/>
    <w:rsid w:val="003C31CD"/>
    <w:rsid w:val="003C3D4A"/>
    <w:rsid w:val="003C596C"/>
    <w:rsid w:val="003D03AF"/>
    <w:rsid w:val="003D07CA"/>
    <w:rsid w:val="003D1FE5"/>
    <w:rsid w:val="003D3735"/>
    <w:rsid w:val="003D497A"/>
    <w:rsid w:val="003D5148"/>
    <w:rsid w:val="003D6081"/>
    <w:rsid w:val="003D6720"/>
    <w:rsid w:val="003D6B3F"/>
    <w:rsid w:val="003D7951"/>
    <w:rsid w:val="003E030F"/>
    <w:rsid w:val="003E1EFB"/>
    <w:rsid w:val="003E2B26"/>
    <w:rsid w:val="003E4299"/>
    <w:rsid w:val="003E6D92"/>
    <w:rsid w:val="003E6F85"/>
    <w:rsid w:val="003E70B9"/>
    <w:rsid w:val="003E7812"/>
    <w:rsid w:val="003F2136"/>
    <w:rsid w:val="003F277A"/>
    <w:rsid w:val="003F31E6"/>
    <w:rsid w:val="003F40F9"/>
    <w:rsid w:val="003F4569"/>
    <w:rsid w:val="003F4C40"/>
    <w:rsid w:val="003F52FE"/>
    <w:rsid w:val="003F580D"/>
    <w:rsid w:val="003F61D7"/>
    <w:rsid w:val="003F780E"/>
    <w:rsid w:val="00401F3A"/>
    <w:rsid w:val="00402686"/>
    <w:rsid w:val="0040272E"/>
    <w:rsid w:val="00402EA0"/>
    <w:rsid w:val="00403452"/>
    <w:rsid w:val="0040350A"/>
    <w:rsid w:val="00403F44"/>
    <w:rsid w:val="004041C9"/>
    <w:rsid w:val="004062F1"/>
    <w:rsid w:val="00406BEF"/>
    <w:rsid w:val="0040793A"/>
    <w:rsid w:val="004079CC"/>
    <w:rsid w:val="004106A7"/>
    <w:rsid w:val="00410F85"/>
    <w:rsid w:val="00412823"/>
    <w:rsid w:val="0041382E"/>
    <w:rsid w:val="00413D00"/>
    <w:rsid w:val="00414410"/>
    <w:rsid w:val="0041442A"/>
    <w:rsid w:val="00414992"/>
    <w:rsid w:val="00416ED0"/>
    <w:rsid w:val="004175B0"/>
    <w:rsid w:val="00421C9B"/>
    <w:rsid w:val="004233D8"/>
    <w:rsid w:val="00423C6E"/>
    <w:rsid w:val="00423ED9"/>
    <w:rsid w:val="00425F90"/>
    <w:rsid w:val="00426041"/>
    <w:rsid w:val="00426CBC"/>
    <w:rsid w:val="00427CC0"/>
    <w:rsid w:val="0043002F"/>
    <w:rsid w:val="004303B3"/>
    <w:rsid w:val="004305C9"/>
    <w:rsid w:val="00430927"/>
    <w:rsid w:val="0043097E"/>
    <w:rsid w:val="0043308A"/>
    <w:rsid w:val="00433113"/>
    <w:rsid w:val="00433F87"/>
    <w:rsid w:val="00434262"/>
    <w:rsid w:val="0043673C"/>
    <w:rsid w:val="00436801"/>
    <w:rsid w:val="00437DA0"/>
    <w:rsid w:val="004412CE"/>
    <w:rsid w:val="00441312"/>
    <w:rsid w:val="00441ED0"/>
    <w:rsid w:val="00442603"/>
    <w:rsid w:val="00442BF4"/>
    <w:rsid w:val="00444898"/>
    <w:rsid w:val="004457E4"/>
    <w:rsid w:val="00445E88"/>
    <w:rsid w:val="004506BE"/>
    <w:rsid w:val="004509F6"/>
    <w:rsid w:val="00453254"/>
    <w:rsid w:val="00453540"/>
    <w:rsid w:val="0045366F"/>
    <w:rsid w:val="00453F4D"/>
    <w:rsid w:val="00455C1F"/>
    <w:rsid w:val="00455D49"/>
    <w:rsid w:val="00455DF1"/>
    <w:rsid w:val="00456A0F"/>
    <w:rsid w:val="00460F22"/>
    <w:rsid w:val="00463619"/>
    <w:rsid w:val="0046446A"/>
    <w:rsid w:val="004645D0"/>
    <w:rsid w:val="00464A97"/>
    <w:rsid w:val="00464FA6"/>
    <w:rsid w:val="004651E5"/>
    <w:rsid w:val="004673A5"/>
    <w:rsid w:val="00467543"/>
    <w:rsid w:val="004676E4"/>
    <w:rsid w:val="0046796E"/>
    <w:rsid w:val="00467E09"/>
    <w:rsid w:val="00470519"/>
    <w:rsid w:val="004707EC"/>
    <w:rsid w:val="00470F11"/>
    <w:rsid w:val="0047173F"/>
    <w:rsid w:val="00471A65"/>
    <w:rsid w:val="0047215E"/>
    <w:rsid w:val="004722FE"/>
    <w:rsid w:val="00472764"/>
    <w:rsid w:val="00472A2C"/>
    <w:rsid w:val="004739B2"/>
    <w:rsid w:val="00473ED0"/>
    <w:rsid w:val="00474D99"/>
    <w:rsid w:val="004758B6"/>
    <w:rsid w:val="004761F8"/>
    <w:rsid w:val="0047624F"/>
    <w:rsid w:val="00476551"/>
    <w:rsid w:val="00476764"/>
    <w:rsid w:val="00477506"/>
    <w:rsid w:val="00477994"/>
    <w:rsid w:val="00480ED0"/>
    <w:rsid w:val="00481CB0"/>
    <w:rsid w:val="00482251"/>
    <w:rsid w:val="00482CC2"/>
    <w:rsid w:val="004835E4"/>
    <w:rsid w:val="00483838"/>
    <w:rsid w:val="00483A00"/>
    <w:rsid w:val="00483D82"/>
    <w:rsid w:val="00484CF0"/>
    <w:rsid w:val="00484D6A"/>
    <w:rsid w:val="004856F7"/>
    <w:rsid w:val="00485E98"/>
    <w:rsid w:val="00485EE5"/>
    <w:rsid w:val="00487169"/>
    <w:rsid w:val="00490405"/>
    <w:rsid w:val="00490539"/>
    <w:rsid w:val="004907EE"/>
    <w:rsid w:val="004910C2"/>
    <w:rsid w:val="00491342"/>
    <w:rsid w:val="00491B25"/>
    <w:rsid w:val="004923DC"/>
    <w:rsid w:val="004925DF"/>
    <w:rsid w:val="004929D1"/>
    <w:rsid w:val="004939CA"/>
    <w:rsid w:val="00497D5C"/>
    <w:rsid w:val="004A243A"/>
    <w:rsid w:val="004A2756"/>
    <w:rsid w:val="004A49CD"/>
    <w:rsid w:val="004A4AED"/>
    <w:rsid w:val="004A58D1"/>
    <w:rsid w:val="004A5E88"/>
    <w:rsid w:val="004A65C0"/>
    <w:rsid w:val="004A6C11"/>
    <w:rsid w:val="004A74CE"/>
    <w:rsid w:val="004B1E66"/>
    <w:rsid w:val="004B2EC3"/>
    <w:rsid w:val="004B4001"/>
    <w:rsid w:val="004B4B39"/>
    <w:rsid w:val="004B6EA9"/>
    <w:rsid w:val="004B735F"/>
    <w:rsid w:val="004B77FF"/>
    <w:rsid w:val="004B7F73"/>
    <w:rsid w:val="004C0D55"/>
    <w:rsid w:val="004C0F0C"/>
    <w:rsid w:val="004C187B"/>
    <w:rsid w:val="004C1C90"/>
    <w:rsid w:val="004C49FA"/>
    <w:rsid w:val="004C4C9B"/>
    <w:rsid w:val="004C4EA4"/>
    <w:rsid w:val="004C701F"/>
    <w:rsid w:val="004C7C47"/>
    <w:rsid w:val="004D0388"/>
    <w:rsid w:val="004D0478"/>
    <w:rsid w:val="004D0A93"/>
    <w:rsid w:val="004D20F5"/>
    <w:rsid w:val="004D34DD"/>
    <w:rsid w:val="004D382B"/>
    <w:rsid w:val="004D3B10"/>
    <w:rsid w:val="004D43F9"/>
    <w:rsid w:val="004D49D8"/>
    <w:rsid w:val="004D6E8F"/>
    <w:rsid w:val="004D73A7"/>
    <w:rsid w:val="004D73BA"/>
    <w:rsid w:val="004D7BA3"/>
    <w:rsid w:val="004E0180"/>
    <w:rsid w:val="004E1FFC"/>
    <w:rsid w:val="004E3B6D"/>
    <w:rsid w:val="004E3C6A"/>
    <w:rsid w:val="004E46B0"/>
    <w:rsid w:val="004E594D"/>
    <w:rsid w:val="004E645B"/>
    <w:rsid w:val="004F0A8A"/>
    <w:rsid w:val="004F3425"/>
    <w:rsid w:val="004F369D"/>
    <w:rsid w:val="004F3AC9"/>
    <w:rsid w:val="004F3E2D"/>
    <w:rsid w:val="004F3E60"/>
    <w:rsid w:val="004F46F0"/>
    <w:rsid w:val="004F4F78"/>
    <w:rsid w:val="004F55EC"/>
    <w:rsid w:val="005011AD"/>
    <w:rsid w:val="005013A2"/>
    <w:rsid w:val="005032A0"/>
    <w:rsid w:val="0050386F"/>
    <w:rsid w:val="00503982"/>
    <w:rsid w:val="005041D5"/>
    <w:rsid w:val="00506806"/>
    <w:rsid w:val="005071D2"/>
    <w:rsid w:val="00510526"/>
    <w:rsid w:val="00510823"/>
    <w:rsid w:val="0051208D"/>
    <w:rsid w:val="00512670"/>
    <w:rsid w:val="00512AC8"/>
    <w:rsid w:val="00515789"/>
    <w:rsid w:val="00516DA1"/>
    <w:rsid w:val="005201F1"/>
    <w:rsid w:val="0052073F"/>
    <w:rsid w:val="00520ACC"/>
    <w:rsid w:val="00520B0B"/>
    <w:rsid w:val="005212D4"/>
    <w:rsid w:val="00521859"/>
    <w:rsid w:val="00522AA1"/>
    <w:rsid w:val="0052415B"/>
    <w:rsid w:val="005243E7"/>
    <w:rsid w:val="00526313"/>
    <w:rsid w:val="005266CB"/>
    <w:rsid w:val="00527FBD"/>
    <w:rsid w:val="0053069A"/>
    <w:rsid w:val="005308B0"/>
    <w:rsid w:val="0053444E"/>
    <w:rsid w:val="0053487E"/>
    <w:rsid w:val="0053510C"/>
    <w:rsid w:val="005362B4"/>
    <w:rsid w:val="0053633A"/>
    <w:rsid w:val="00536E3A"/>
    <w:rsid w:val="005400DC"/>
    <w:rsid w:val="00540E77"/>
    <w:rsid w:val="00542940"/>
    <w:rsid w:val="00542A74"/>
    <w:rsid w:val="00542CCA"/>
    <w:rsid w:val="0054309D"/>
    <w:rsid w:val="005436F3"/>
    <w:rsid w:val="00544451"/>
    <w:rsid w:val="005449D5"/>
    <w:rsid w:val="00544A6C"/>
    <w:rsid w:val="005456DF"/>
    <w:rsid w:val="00551427"/>
    <w:rsid w:val="00551C0A"/>
    <w:rsid w:val="005532D9"/>
    <w:rsid w:val="005542EF"/>
    <w:rsid w:val="00554430"/>
    <w:rsid w:val="00555F85"/>
    <w:rsid w:val="0055630E"/>
    <w:rsid w:val="005567F7"/>
    <w:rsid w:val="00560551"/>
    <w:rsid w:val="00561FE9"/>
    <w:rsid w:val="00562804"/>
    <w:rsid w:val="00563061"/>
    <w:rsid w:val="0056401C"/>
    <w:rsid w:val="00564093"/>
    <w:rsid w:val="00564DFE"/>
    <w:rsid w:val="00564F46"/>
    <w:rsid w:val="005659B2"/>
    <w:rsid w:val="00566CB6"/>
    <w:rsid w:val="00567AAC"/>
    <w:rsid w:val="0057295B"/>
    <w:rsid w:val="00572A2F"/>
    <w:rsid w:val="00572C28"/>
    <w:rsid w:val="00572D91"/>
    <w:rsid w:val="00574893"/>
    <w:rsid w:val="005753ED"/>
    <w:rsid w:val="00575E03"/>
    <w:rsid w:val="00576B32"/>
    <w:rsid w:val="00576B9E"/>
    <w:rsid w:val="00577555"/>
    <w:rsid w:val="005803FA"/>
    <w:rsid w:val="005827DA"/>
    <w:rsid w:val="0058356E"/>
    <w:rsid w:val="00583A5E"/>
    <w:rsid w:val="00585DCB"/>
    <w:rsid w:val="005865C7"/>
    <w:rsid w:val="00590CD8"/>
    <w:rsid w:val="00593310"/>
    <w:rsid w:val="0059593D"/>
    <w:rsid w:val="00595C4D"/>
    <w:rsid w:val="00597498"/>
    <w:rsid w:val="0059767A"/>
    <w:rsid w:val="00597A01"/>
    <w:rsid w:val="00597B28"/>
    <w:rsid w:val="005A0462"/>
    <w:rsid w:val="005A43FC"/>
    <w:rsid w:val="005A588A"/>
    <w:rsid w:val="005A6007"/>
    <w:rsid w:val="005A6752"/>
    <w:rsid w:val="005A6DE4"/>
    <w:rsid w:val="005A7236"/>
    <w:rsid w:val="005A7777"/>
    <w:rsid w:val="005A7842"/>
    <w:rsid w:val="005B08B3"/>
    <w:rsid w:val="005B0F07"/>
    <w:rsid w:val="005B16D7"/>
    <w:rsid w:val="005B1B3D"/>
    <w:rsid w:val="005B1BB5"/>
    <w:rsid w:val="005B37DB"/>
    <w:rsid w:val="005B3AC2"/>
    <w:rsid w:val="005B439F"/>
    <w:rsid w:val="005B4492"/>
    <w:rsid w:val="005B49CC"/>
    <w:rsid w:val="005B62FA"/>
    <w:rsid w:val="005B6576"/>
    <w:rsid w:val="005C09F1"/>
    <w:rsid w:val="005C0B01"/>
    <w:rsid w:val="005C1CF3"/>
    <w:rsid w:val="005C37A8"/>
    <w:rsid w:val="005C3B0D"/>
    <w:rsid w:val="005C4B2D"/>
    <w:rsid w:val="005C5BC2"/>
    <w:rsid w:val="005C72E9"/>
    <w:rsid w:val="005C79F4"/>
    <w:rsid w:val="005D0472"/>
    <w:rsid w:val="005D163E"/>
    <w:rsid w:val="005D33A6"/>
    <w:rsid w:val="005D4199"/>
    <w:rsid w:val="005D4D03"/>
    <w:rsid w:val="005D5292"/>
    <w:rsid w:val="005D5470"/>
    <w:rsid w:val="005D637B"/>
    <w:rsid w:val="005D6B93"/>
    <w:rsid w:val="005E0829"/>
    <w:rsid w:val="005E14F6"/>
    <w:rsid w:val="005E162C"/>
    <w:rsid w:val="005E26A1"/>
    <w:rsid w:val="005E2B12"/>
    <w:rsid w:val="005E2D33"/>
    <w:rsid w:val="005E3651"/>
    <w:rsid w:val="005E43ED"/>
    <w:rsid w:val="005E449C"/>
    <w:rsid w:val="005E494F"/>
    <w:rsid w:val="005E5312"/>
    <w:rsid w:val="005E588E"/>
    <w:rsid w:val="005E5B8D"/>
    <w:rsid w:val="005E5F0F"/>
    <w:rsid w:val="005E695B"/>
    <w:rsid w:val="005F0E22"/>
    <w:rsid w:val="005F1547"/>
    <w:rsid w:val="005F1604"/>
    <w:rsid w:val="005F24F4"/>
    <w:rsid w:val="005F2903"/>
    <w:rsid w:val="005F31D7"/>
    <w:rsid w:val="005F3AA3"/>
    <w:rsid w:val="005F537F"/>
    <w:rsid w:val="005F5931"/>
    <w:rsid w:val="005F7D07"/>
    <w:rsid w:val="0060020D"/>
    <w:rsid w:val="00600CC8"/>
    <w:rsid w:val="00602794"/>
    <w:rsid w:val="00602CF4"/>
    <w:rsid w:val="00604135"/>
    <w:rsid w:val="006058CB"/>
    <w:rsid w:val="00605AFB"/>
    <w:rsid w:val="0060733C"/>
    <w:rsid w:val="00607C36"/>
    <w:rsid w:val="0061140B"/>
    <w:rsid w:val="00613453"/>
    <w:rsid w:val="0061470B"/>
    <w:rsid w:val="00614908"/>
    <w:rsid w:val="00615029"/>
    <w:rsid w:val="00616593"/>
    <w:rsid w:val="00616758"/>
    <w:rsid w:val="00616AE1"/>
    <w:rsid w:val="006179F7"/>
    <w:rsid w:val="00617F6B"/>
    <w:rsid w:val="0062067C"/>
    <w:rsid w:val="006214AD"/>
    <w:rsid w:val="0062541F"/>
    <w:rsid w:val="00625863"/>
    <w:rsid w:val="006260E5"/>
    <w:rsid w:val="0062683F"/>
    <w:rsid w:val="00627B69"/>
    <w:rsid w:val="00633754"/>
    <w:rsid w:val="006348F4"/>
    <w:rsid w:val="006358BE"/>
    <w:rsid w:val="00635B89"/>
    <w:rsid w:val="00635E85"/>
    <w:rsid w:val="00636C4C"/>
    <w:rsid w:val="00636E4B"/>
    <w:rsid w:val="006371FF"/>
    <w:rsid w:val="00643563"/>
    <w:rsid w:val="00643DD9"/>
    <w:rsid w:val="00644A75"/>
    <w:rsid w:val="006452B6"/>
    <w:rsid w:val="00645B41"/>
    <w:rsid w:val="006472A0"/>
    <w:rsid w:val="00651287"/>
    <w:rsid w:val="00651512"/>
    <w:rsid w:val="00653665"/>
    <w:rsid w:val="00653E27"/>
    <w:rsid w:val="00654956"/>
    <w:rsid w:val="00654DE7"/>
    <w:rsid w:val="0065533C"/>
    <w:rsid w:val="00656340"/>
    <w:rsid w:val="00656A9D"/>
    <w:rsid w:val="00656F5E"/>
    <w:rsid w:val="00660D19"/>
    <w:rsid w:val="00662CBC"/>
    <w:rsid w:val="0066449E"/>
    <w:rsid w:val="0067038D"/>
    <w:rsid w:val="00671A6A"/>
    <w:rsid w:val="00673F0C"/>
    <w:rsid w:val="00676223"/>
    <w:rsid w:val="00676A38"/>
    <w:rsid w:val="00680098"/>
    <w:rsid w:val="00680333"/>
    <w:rsid w:val="00680957"/>
    <w:rsid w:val="006821CE"/>
    <w:rsid w:val="00682CFC"/>
    <w:rsid w:val="00683B13"/>
    <w:rsid w:val="00686325"/>
    <w:rsid w:val="00686EC4"/>
    <w:rsid w:val="00687063"/>
    <w:rsid w:val="00687C14"/>
    <w:rsid w:val="00690E37"/>
    <w:rsid w:val="00691425"/>
    <w:rsid w:val="006955A5"/>
    <w:rsid w:val="00695E17"/>
    <w:rsid w:val="00696763"/>
    <w:rsid w:val="0069734A"/>
    <w:rsid w:val="0069792D"/>
    <w:rsid w:val="006A139A"/>
    <w:rsid w:val="006A1939"/>
    <w:rsid w:val="006A303A"/>
    <w:rsid w:val="006A45A4"/>
    <w:rsid w:val="006A5C3E"/>
    <w:rsid w:val="006A5CC0"/>
    <w:rsid w:val="006A5DF0"/>
    <w:rsid w:val="006B0367"/>
    <w:rsid w:val="006B06E6"/>
    <w:rsid w:val="006B147C"/>
    <w:rsid w:val="006B1E00"/>
    <w:rsid w:val="006B202A"/>
    <w:rsid w:val="006B3AD9"/>
    <w:rsid w:val="006B3E3B"/>
    <w:rsid w:val="006B4199"/>
    <w:rsid w:val="006B4802"/>
    <w:rsid w:val="006B5097"/>
    <w:rsid w:val="006B5516"/>
    <w:rsid w:val="006B5D36"/>
    <w:rsid w:val="006B7A09"/>
    <w:rsid w:val="006C42CE"/>
    <w:rsid w:val="006C4DE9"/>
    <w:rsid w:val="006C5486"/>
    <w:rsid w:val="006C592D"/>
    <w:rsid w:val="006C5D93"/>
    <w:rsid w:val="006C74B3"/>
    <w:rsid w:val="006D096A"/>
    <w:rsid w:val="006D209C"/>
    <w:rsid w:val="006D2B41"/>
    <w:rsid w:val="006D3791"/>
    <w:rsid w:val="006D45C7"/>
    <w:rsid w:val="006D465F"/>
    <w:rsid w:val="006D46A6"/>
    <w:rsid w:val="006D4B56"/>
    <w:rsid w:val="006D7209"/>
    <w:rsid w:val="006D7EFF"/>
    <w:rsid w:val="006E11C9"/>
    <w:rsid w:val="006E31AE"/>
    <w:rsid w:val="006E4984"/>
    <w:rsid w:val="006E5E71"/>
    <w:rsid w:val="006E7EFC"/>
    <w:rsid w:val="006F0A6C"/>
    <w:rsid w:val="006F32BF"/>
    <w:rsid w:val="006F3567"/>
    <w:rsid w:val="006F38A2"/>
    <w:rsid w:val="006F38F6"/>
    <w:rsid w:val="006F3989"/>
    <w:rsid w:val="006F4219"/>
    <w:rsid w:val="006F55D6"/>
    <w:rsid w:val="006F575A"/>
    <w:rsid w:val="00700449"/>
    <w:rsid w:val="00700A73"/>
    <w:rsid w:val="00700F46"/>
    <w:rsid w:val="007015E9"/>
    <w:rsid w:val="00702A10"/>
    <w:rsid w:val="0070484E"/>
    <w:rsid w:val="00704ED8"/>
    <w:rsid w:val="00705423"/>
    <w:rsid w:val="0070601C"/>
    <w:rsid w:val="00707008"/>
    <w:rsid w:val="00710993"/>
    <w:rsid w:val="007125C7"/>
    <w:rsid w:val="00712884"/>
    <w:rsid w:val="00713C6D"/>
    <w:rsid w:val="00714D9B"/>
    <w:rsid w:val="00715090"/>
    <w:rsid w:val="00715379"/>
    <w:rsid w:val="0071587A"/>
    <w:rsid w:val="007159EB"/>
    <w:rsid w:val="007160E0"/>
    <w:rsid w:val="00716E3F"/>
    <w:rsid w:val="00717DE7"/>
    <w:rsid w:val="00720629"/>
    <w:rsid w:val="00720B16"/>
    <w:rsid w:val="007219C5"/>
    <w:rsid w:val="00721B5C"/>
    <w:rsid w:val="007223FC"/>
    <w:rsid w:val="00723E51"/>
    <w:rsid w:val="00725B78"/>
    <w:rsid w:val="00725F23"/>
    <w:rsid w:val="007267EB"/>
    <w:rsid w:val="0072737A"/>
    <w:rsid w:val="00730159"/>
    <w:rsid w:val="00730C0D"/>
    <w:rsid w:val="0073129C"/>
    <w:rsid w:val="00731C60"/>
    <w:rsid w:val="00731D68"/>
    <w:rsid w:val="007339DB"/>
    <w:rsid w:val="00735608"/>
    <w:rsid w:val="007356FC"/>
    <w:rsid w:val="00735CE3"/>
    <w:rsid w:val="00736DD5"/>
    <w:rsid w:val="0074101E"/>
    <w:rsid w:val="0074150A"/>
    <w:rsid w:val="00741FEC"/>
    <w:rsid w:val="007433D3"/>
    <w:rsid w:val="00743A86"/>
    <w:rsid w:val="00743F1B"/>
    <w:rsid w:val="00743F6E"/>
    <w:rsid w:val="0074430F"/>
    <w:rsid w:val="007448B9"/>
    <w:rsid w:val="007468E9"/>
    <w:rsid w:val="00746BED"/>
    <w:rsid w:val="00747D71"/>
    <w:rsid w:val="00750288"/>
    <w:rsid w:val="00751BF1"/>
    <w:rsid w:val="007537F1"/>
    <w:rsid w:val="007545CD"/>
    <w:rsid w:val="007549E4"/>
    <w:rsid w:val="00755E18"/>
    <w:rsid w:val="00756643"/>
    <w:rsid w:val="007567FF"/>
    <w:rsid w:val="00756DA9"/>
    <w:rsid w:val="0075794D"/>
    <w:rsid w:val="007608C8"/>
    <w:rsid w:val="00761696"/>
    <w:rsid w:val="007616B5"/>
    <w:rsid w:val="00761834"/>
    <w:rsid w:val="00761D56"/>
    <w:rsid w:val="007620D8"/>
    <w:rsid w:val="007631A8"/>
    <w:rsid w:val="0076420A"/>
    <w:rsid w:val="0076492F"/>
    <w:rsid w:val="0076493D"/>
    <w:rsid w:val="00764D0F"/>
    <w:rsid w:val="00764ED5"/>
    <w:rsid w:val="007665AE"/>
    <w:rsid w:val="007665E7"/>
    <w:rsid w:val="00766AE8"/>
    <w:rsid w:val="00767809"/>
    <w:rsid w:val="00773845"/>
    <w:rsid w:val="007745B6"/>
    <w:rsid w:val="0077605D"/>
    <w:rsid w:val="0077746C"/>
    <w:rsid w:val="007806D6"/>
    <w:rsid w:val="00780896"/>
    <w:rsid w:val="00780E48"/>
    <w:rsid w:val="00780FF2"/>
    <w:rsid w:val="007815A1"/>
    <w:rsid w:val="00783BF6"/>
    <w:rsid w:val="00784BA7"/>
    <w:rsid w:val="0078501F"/>
    <w:rsid w:val="00785229"/>
    <w:rsid w:val="0079186B"/>
    <w:rsid w:val="007919EE"/>
    <w:rsid w:val="0079267C"/>
    <w:rsid w:val="00792A9A"/>
    <w:rsid w:val="00792B29"/>
    <w:rsid w:val="00793312"/>
    <w:rsid w:val="0079391A"/>
    <w:rsid w:val="007943E6"/>
    <w:rsid w:val="00794B5C"/>
    <w:rsid w:val="00794C7A"/>
    <w:rsid w:val="00796A9E"/>
    <w:rsid w:val="00796D05"/>
    <w:rsid w:val="00797687"/>
    <w:rsid w:val="007A0BE3"/>
    <w:rsid w:val="007A25AF"/>
    <w:rsid w:val="007A2AE9"/>
    <w:rsid w:val="007A2DEB"/>
    <w:rsid w:val="007A30A5"/>
    <w:rsid w:val="007A568E"/>
    <w:rsid w:val="007A5FB9"/>
    <w:rsid w:val="007A651C"/>
    <w:rsid w:val="007A664A"/>
    <w:rsid w:val="007A6E4F"/>
    <w:rsid w:val="007A70C6"/>
    <w:rsid w:val="007A7382"/>
    <w:rsid w:val="007A7FF2"/>
    <w:rsid w:val="007B0966"/>
    <w:rsid w:val="007B11D0"/>
    <w:rsid w:val="007B189F"/>
    <w:rsid w:val="007B1CB5"/>
    <w:rsid w:val="007B27E9"/>
    <w:rsid w:val="007B2987"/>
    <w:rsid w:val="007B39E1"/>
    <w:rsid w:val="007B6A8F"/>
    <w:rsid w:val="007B7062"/>
    <w:rsid w:val="007B70D3"/>
    <w:rsid w:val="007B7D10"/>
    <w:rsid w:val="007C1116"/>
    <w:rsid w:val="007C12D9"/>
    <w:rsid w:val="007C3AA6"/>
    <w:rsid w:val="007C4B93"/>
    <w:rsid w:val="007C4EF2"/>
    <w:rsid w:val="007C55D4"/>
    <w:rsid w:val="007D093F"/>
    <w:rsid w:val="007D0BE8"/>
    <w:rsid w:val="007D0D6D"/>
    <w:rsid w:val="007D283E"/>
    <w:rsid w:val="007D36CA"/>
    <w:rsid w:val="007D4C02"/>
    <w:rsid w:val="007D5920"/>
    <w:rsid w:val="007D6496"/>
    <w:rsid w:val="007D6731"/>
    <w:rsid w:val="007D6837"/>
    <w:rsid w:val="007D7001"/>
    <w:rsid w:val="007D782F"/>
    <w:rsid w:val="007D7E87"/>
    <w:rsid w:val="007E0FEC"/>
    <w:rsid w:val="007E1666"/>
    <w:rsid w:val="007E1ECC"/>
    <w:rsid w:val="007E2A09"/>
    <w:rsid w:val="007E40DD"/>
    <w:rsid w:val="007E4D5F"/>
    <w:rsid w:val="007E52BF"/>
    <w:rsid w:val="007E554E"/>
    <w:rsid w:val="007E594F"/>
    <w:rsid w:val="007E5A59"/>
    <w:rsid w:val="007E71DB"/>
    <w:rsid w:val="007E7C73"/>
    <w:rsid w:val="007F0225"/>
    <w:rsid w:val="007F0AC8"/>
    <w:rsid w:val="007F10CE"/>
    <w:rsid w:val="007F167C"/>
    <w:rsid w:val="007F2066"/>
    <w:rsid w:val="007F2B93"/>
    <w:rsid w:val="007F4005"/>
    <w:rsid w:val="007F64E9"/>
    <w:rsid w:val="007F7D89"/>
    <w:rsid w:val="007F7EFE"/>
    <w:rsid w:val="007F7F51"/>
    <w:rsid w:val="0080100B"/>
    <w:rsid w:val="008014A8"/>
    <w:rsid w:val="00801BBC"/>
    <w:rsid w:val="00802320"/>
    <w:rsid w:val="00802684"/>
    <w:rsid w:val="00804380"/>
    <w:rsid w:val="00804490"/>
    <w:rsid w:val="00806655"/>
    <w:rsid w:val="008066E5"/>
    <w:rsid w:val="00806B2A"/>
    <w:rsid w:val="0080705A"/>
    <w:rsid w:val="008071EA"/>
    <w:rsid w:val="00810DA4"/>
    <w:rsid w:val="00813597"/>
    <w:rsid w:val="00813D3B"/>
    <w:rsid w:val="00814A29"/>
    <w:rsid w:val="00823846"/>
    <w:rsid w:val="008259B8"/>
    <w:rsid w:val="00825ADA"/>
    <w:rsid w:val="00825DEA"/>
    <w:rsid w:val="0082667C"/>
    <w:rsid w:val="008266E5"/>
    <w:rsid w:val="008269BB"/>
    <w:rsid w:val="00826B73"/>
    <w:rsid w:val="00827362"/>
    <w:rsid w:val="008279A8"/>
    <w:rsid w:val="00827CE5"/>
    <w:rsid w:val="00827E59"/>
    <w:rsid w:val="0083160C"/>
    <w:rsid w:val="00832029"/>
    <w:rsid w:val="00832787"/>
    <w:rsid w:val="0083338A"/>
    <w:rsid w:val="00833923"/>
    <w:rsid w:val="0083465D"/>
    <w:rsid w:val="00834CDA"/>
    <w:rsid w:val="0083532F"/>
    <w:rsid w:val="008362EF"/>
    <w:rsid w:val="008367C0"/>
    <w:rsid w:val="00840F68"/>
    <w:rsid w:val="00843EBB"/>
    <w:rsid w:val="008443EB"/>
    <w:rsid w:val="00844E1C"/>
    <w:rsid w:val="00845002"/>
    <w:rsid w:val="008465EC"/>
    <w:rsid w:val="00847A9C"/>
    <w:rsid w:val="008528BA"/>
    <w:rsid w:val="00853C7D"/>
    <w:rsid w:val="00854421"/>
    <w:rsid w:val="00855674"/>
    <w:rsid w:val="00855C9D"/>
    <w:rsid w:val="008611EC"/>
    <w:rsid w:val="0086291A"/>
    <w:rsid w:val="00862D4F"/>
    <w:rsid w:val="00867BD0"/>
    <w:rsid w:val="00870112"/>
    <w:rsid w:val="00871456"/>
    <w:rsid w:val="00871856"/>
    <w:rsid w:val="00872ABA"/>
    <w:rsid w:val="00872FCE"/>
    <w:rsid w:val="00873D82"/>
    <w:rsid w:val="00874290"/>
    <w:rsid w:val="00874D57"/>
    <w:rsid w:val="00874EBD"/>
    <w:rsid w:val="008750A3"/>
    <w:rsid w:val="008757B9"/>
    <w:rsid w:val="008761FC"/>
    <w:rsid w:val="00877D2F"/>
    <w:rsid w:val="008800C1"/>
    <w:rsid w:val="0088062E"/>
    <w:rsid w:val="00881137"/>
    <w:rsid w:val="00882559"/>
    <w:rsid w:val="00882933"/>
    <w:rsid w:val="00883A75"/>
    <w:rsid w:val="00883F98"/>
    <w:rsid w:val="00884396"/>
    <w:rsid w:val="008843FC"/>
    <w:rsid w:val="00885E0F"/>
    <w:rsid w:val="008862BD"/>
    <w:rsid w:val="008863E8"/>
    <w:rsid w:val="00886400"/>
    <w:rsid w:val="008917E7"/>
    <w:rsid w:val="008941BE"/>
    <w:rsid w:val="008947CF"/>
    <w:rsid w:val="008962E9"/>
    <w:rsid w:val="0089642E"/>
    <w:rsid w:val="0089653C"/>
    <w:rsid w:val="00896CA9"/>
    <w:rsid w:val="008A0D19"/>
    <w:rsid w:val="008A0DE6"/>
    <w:rsid w:val="008A1FF5"/>
    <w:rsid w:val="008A233D"/>
    <w:rsid w:val="008A237E"/>
    <w:rsid w:val="008A3BD1"/>
    <w:rsid w:val="008A447D"/>
    <w:rsid w:val="008A4AF5"/>
    <w:rsid w:val="008A4EFA"/>
    <w:rsid w:val="008A62A5"/>
    <w:rsid w:val="008A791B"/>
    <w:rsid w:val="008A7E2E"/>
    <w:rsid w:val="008B0488"/>
    <w:rsid w:val="008B3124"/>
    <w:rsid w:val="008B3B4B"/>
    <w:rsid w:val="008B5749"/>
    <w:rsid w:val="008B6744"/>
    <w:rsid w:val="008B72A5"/>
    <w:rsid w:val="008B7762"/>
    <w:rsid w:val="008C0421"/>
    <w:rsid w:val="008C0B42"/>
    <w:rsid w:val="008C1918"/>
    <w:rsid w:val="008C1A51"/>
    <w:rsid w:val="008C2A4A"/>
    <w:rsid w:val="008C2F29"/>
    <w:rsid w:val="008C4263"/>
    <w:rsid w:val="008C4AD0"/>
    <w:rsid w:val="008C6B30"/>
    <w:rsid w:val="008C7E4D"/>
    <w:rsid w:val="008D087D"/>
    <w:rsid w:val="008D3033"/>
    <w:rsid w:val="008D493B"/>
    <w:rsid w:val="008D4A7C"/>
    <w:rsid w:val="008D51DA"/>
    <w:rsid w:val="008D53A9"/>
    <w:rsid w:val="008D5615"/>
    <w:rsid w:val="008D5F0D"/>
    <w:rsid w:val="008D683A"/>
    <w:rsid w:val="008D6F1D"/>
    <w:rsid w:val="008E0359"/>
    <w:rsid w:val="008E0805"/>
    <w:rsid w:val="008E0FFB"/>
    <w:rsid w:val="008E25B1"/>
    <w:rsid w:val="008E2B4D"/>
    <w:rsid w:val="008E3094"/>
    <w:rsid w:val="008E3295"/>
    <w:rsid w:val="008E55EA"/>
    <w:rsid w:val="008E5926"/>
    <w:rsid w:val="008E75C5"/>
    <w:rsid w:val="008E7887"/>
    <w:rsid w:val="008E7E6E"/>
    <w:rsid w:val="008F1194"/>
    <w:rsid w:val="008F1884"/>
    <w:rsid w:val="008F1AD8"/>
    <w:rsid w:val="008F237A"/>
    <w:rsid w:val="008F2796"/>
    <w:rsid w:val="008F34D3"/>
    <w:rsid w:val="008F5571"/>
    <w:rsid w:val="008F56F8"/>
    <w:rsid w:val="008F63EB"/>
    <w:rsid w:val="008F6A2F"/>
    <w:rsid w:val="008F6B5E"/>
    <w:rsid w:val="008F755E"/>
    <w:rsid w:val="008F79D0"/>
    <w:rsid w:val="008F7D1A"/>
    <w:rsid w:val="009008B1"/>
    <w:rsid w:val="00901DB3"/>
    <w:rsid w:val="00902015"/>
    <w:rsid w:val="00903531"/>
    <w:rsid w:val="00904A65"/>
    <w:rsid w:val="00905793"/>
    <w:rsid w:val="00907263"/>
    <w:rsid w:val="009073CE"/>
    <w:rsid w:val="00910C58"/>
    <w:rsid w:val="0091161D"/>
    <w:rsid w:val="009123F6"/>
    <w:rsid w:val="00913E2A"/>
    <w:rsid w:val="0091468D"/>
    <w:rsid w:val="0091475E"/>
    <w:rsid w:val="00914F38"/>
    <w:rsid w:val="009163B6"/>
    <w:rsid w:val="00916B61"/>
    <w:rsid w:val="00917ED2"/>
    <w:rsid w:val="00917F42"/>
    <w:rsid w:val="009205E3"/>
    <w:rsid w:val="009217A9"/>
    <w:rsid w:val="00922F29"/>
    <w:rsid w:val="009231E6"/>
    <w:rsid w:val="00924303"/>
    <w:rsid w:val="00924926"/>
    <w:rsid w:val="00924ED9"/>
    <w:rsid w:val="0092594C"/>
    <w:rsid w:val="00926954"/>
    <w:rsid w:val="009277E9"/>
    <w:rsid w:val="00927A03"/>
    <w:rsid w:val="0093042C"/>
    <w:rsid w:val="00931316"/>
    <w:rsid w:val="009315B3"/>
    <w:rsid w:val="009322CB"/>
    <w:rsid w:val="00933086"/>
    <w:rsid w:val="00933611"/>
    <w:rsid w:val="0093478E"/>
    <w:rsid w:val="00934A0F"/>
    <w:rsid w:val="00934ABD"/>
    <w:rsid w:val="00934FDD"/>
    <w:rsid w:val="009364C0"/>
    <w:rsid w:val="00937ED6"/>
    <w:rsid w:val="00940452"/>
    <w:rsid w:val="009406E7"/>
    <w:rsid w:val="00940B04"/>
    <w:rsid w:val="00944575"/>
    <w:rsid w:val="00944AB3"/>
    <w:rsid w:val="009465F6"/>
    <w:rsid w:val="009469A2"/>
    <w:rsid w:val="00950141"/>
    <w:rsid w:val="00950FC7"/>
    <w:rsid w:val="00951D07"/>
    <w:rsid w:val="00952A3E"/>
    <w:rsid w:val="00953FB3"/>
    <w:rsid w:val="0095455D"/>
    <w:rsid w:val="0095482D"/>
    <w:rsid w:val="009563AA"/>
    <w:rsid w:val="00957BED"/>
    <w:rsid w:val="0096004E"/>
    <w:rsid w:val="009623A4"/>
    <w:rsid w:val="00962AE7"/>
    <w:rsid w:val="00963229"/>
    <w:rsid w:val="0096515A"/>
    <w:rsid w:val="0096573E"/>
    <w:rsid w:val="00965C79"/>
    <w:rsid w:val="009662F5"/>
    <w:rsid w:val="00966601"/>
    <w:rsid w:val="00967094"/>
    <w:rsid w:val="00970079"/>
    <w:rsid w:val="009700A9"/>
    <w:rsid w:val="00970A79"/>
    <w:rsid w:val="00973C9C"/>
    <w:rsid w:val="009752BD"/>
    <w:rsid w:val="009758CF"/>
    <w:rsid w:val="00976C9C"/>
    <w:rsid w:val="00976CF4"/>
    <w:rsid w:val="009835C4"/>
    <w:rsid w:val="00983B0F"/>
    <w:rsid w:val="00984E05"/>
    <w:rsid w:val="00985554"/>
    <w:rsid w:val="00985A65"/>
    <w:rsid w:val="0098672A"/>
    <w:rsid w:val="00987830"/>
    <w:rsid w:val="00990141"/>
    <w:rsid w:val="00990D6F"/>
    <w:rsid w:val="0099131F"/>
    <w:rsid w:val="0099157D"/>
    <w:rsid w:val="00993A67"/>
    <w:rsid w:val="00994D7F"/>
    <w:rsid w:val="009962A0"/>
    <w:rsid w:val="0099644E"/>
    <w:rsid w:val="00996F8C"/>
    <w:rsid w:val="009A0627"/>
    <w:rsid w:val="009A44CB"/>
    <w:rsid w:val="009A454D"/>
    <w:rsid w:val="009A472B"/>
    <w:rsid w:val="009A5C14"/>
    <w:rsid w:val="009A5EC8"/>
    <w:rsid w:val="009A6141"/>
    <w:rsid w:val="009A750A"/>
    <w:rsid w:val="009A7763"/>
    <w:rsid w:val="009A7A9E"/>
    <w:rsid w:val="009A7B95"/>
    <w:rsid w:val="009B05E8"/>
    <w:rsid w:val="009B05F1"/>
    <w:rsid w:val="009B126C"/>
    <w:rsid w:val="009B19B4"/>
    <w:rsid w:val="009B2CF2"/>
    <w:rsid w:val="009B3751"/>
    <w:rsid w:val="009B45E7"/>
    <w:rsid w:val="009B493A"/>
    <w:rsid w:val="009B4DE3"/>
    <w:rsid w:val="009B537A"/>
    <w:rsid w:val="009B62CB"/>
    <w:rsid w:val="009B6612"/>
    <w:rsid w:val="009B6A55"/>
    <w:rsid w:val="009B7481"/>
    <w:rsid w:val="009B751A"/>
    <w:rsid w:val="009C02BD"/>
    <w:rsid w:val="009C158C"/>
    <w:rsid w:val="009C196E"/>
    <w:rsid w:val="009C2F04"/>
    <w:rsid w:val="009C3B52"/>
    <w:rsid w:val="009C4A6F"/>
    <w:rsid w:val="009C55F9"/>
    <w:rsid w:val="009C6025"/>
    <w:rsid w:val="009C7197"/>
    <w:rsid w:val="009D161B"/>
    <w:rsid w:val="009D18A0"/>
    <w:rsid w:val="009D1EF0"/>
    <w:rsid w:val="009D478F"/>
    <w:rsid w:val="009D479C"/>
    <w:rsid w:val="009D5125"/>
    <w:rsid w:val="009D545D"/>
    <w:rsid w:val="009D6126"/>
    <w:rsid w:val="009D705F"/>
    <w:rsid w:val="009D707E"/>
    <w:rsid w:val="009D7772"/>
    <w:rsid w:val="009D7E79"/>
    <w:rsid w:val="009E1143"/>
    <w:rsid w:val="009E165F"/>
    <w:rsid w:val="009E26F3"/>
    <w:rsid w:val="009E2925"/>
    <w:rsid w:val="009E409E"/>
    <w:rsid w:val="009E4C22"/>
    <w:rsid w:val="009E63C4"/>
    <w:rsid w:val="009E7131"/>
    <w:rsid w:val="009F0065"/>
    <w:rsid w:val="009F0651"/>
    <w:rsid w:val="009F0908"/>
    <w:rsid w:val="009F1BCB"/>
    <w:rsid w:val="009F2488"/>
    <w:rsid w:val="009F3305"/>
    <w:rsid w:val="009F3650"/>
    <w:rsid w:val="009F6E81"/>
    <w:rsid w:val="009F7321"/>
    <w:rsid w:val="00A00194"/>
    <w:rsid w:val="00A001C6"/>
    <w:rsid w:val="00A00244"/>
    <w:rsid w:val="00A02BF2"/>
    <w:rsid w:val="00A031F9"/>
    <w:rsid w:val="00A03BD6"/>
    <w:rsid w:val="00A05A0B"/>
    <w:rsid w:val="00A05E0C"/>
    <w:rsid w:val="00A10C32"/>
    <w:rsid w:val="00A12FE6"/>
    <w:rsid w:val="00A13389"/>
    <w:rsid w:val="00A14944"/>
    <w:rsid w:val="00A1714E"/>
    <w:rsid w:val="00A2017E"/>
    <w:rsid w:val="00A2337E"/>
    <w:rsid w:val="00A24A28"/>
    <w:rsid w:val="00A24B21"/>
    <w:rsid w:val="00A24FA6"/>
    <w:rsid w:val="00A253E4"/>
    <w:rsid w:val="00A2547A"/>
    <w:rsid w:val="00A261BA"/>
    <w:rsid w:val="00A27C2D"/>
    <w:rsid w:val="00A33A71"/>
    <w:rsid w:val="00A33CBD"/>
    <w:rsid w:val="00A343D4"/>
    <w:rsid w:val="00A403A8"/>
    <w:rsid w:val="00A404B2"/>
    <w:rsid w:val="00A406D2"/>
    <w:rsid w:val="00A41764"/>
    <w:rsid w:val="00A41901"/>
    <w:rsid w:val="00A41B44"/>
    <w:rsid w:val="00A41C86"/>
    <w:rsid w:val="00A428F3"/>
    <w:rsid w:val="00A42F93"/>
    <w:rsid w:val="00A44630"/>
    <w:rsid w:val="00A446D4"/>
    <w:rsid w:val="00A44AC4"/>
    <w:rsid w:val="00A4582E"/>
    <w:rsid w:val="00A466C5"/>
    <w:rsid w:val="00A46E6E"/>
    <w:rsid w:val="00A472C5"/>
    <w:rsid w:val="00A50CD1"/>
    <w:rsid w:val="00A513F1"/>
    <w:rsid w:val="00A528CC"/>
    <w:rsid w:val="00A52EF0"/>
    <w:rsid w:val="00A53DF9"/>
    <w:rsid w:val="00A5472F"/>
    <w:rsid w:val="00A54C4F"/>
    <w:rsid w:val="00A560DE"/>
    <w:rsid w:val="00A565E9"/>
    <w:rsid w:val="00A56F02"/>
    <w:rsid w:val="00A57FD5"/>
    <w:rsid w:val="00A60463"/>
    <w:rsid w:val="00A60D31"/>
    <w:rsid w:val="00A61A8A"/>
    <w:rsid w:val="00A61B87"/>
    <w:rsid w:val="00A62028"/>
    <w:rsid w:val="00A628D7"/>
    <w:rsid w:val="00A6320B"/>
    <w:rsid w:val="00A6444C"/>
    <w:rsid w:val="00A64491"/>
    <w:rsid w:val="00A65141"/>
    <w:rsid w:val="00A66485"/>
    <w:rsid w:val="00A66DA4"/>
    <w:rsid w:val="00A71874"/>
    <w:rsid w:val="00A74126"/>
    <w:rsid w:val="00A7441C"/>
    <w:rsid w:val="00A75036"/>
    <w:rsid w:val="00A7606A"/>
    <w:rsid w:val="00A7702A"/>
    <w:rsid w:val="00A80332"/>
    <w:rsid w:val="00A80AA1"/>
    <w:rsid w:val="00A80D18"/>
    <w:rsid w:val="00A80DE6"/>
    <w:rsid w:val="00A82149"/>
    <w:rsid w:val="00A8228B"/>
    <w:rsid w:val="00A82C28"/>
    <w:rsid w:val="00A84413"/>
    <w:rsid w:val="00A85069"/>
    <w:rsid w:val="00A851D3"/>
    <w:rsid w:val="00A85C99"/>
    <w:rsid w:val="00A85E2E"/>
    <w:rsid w:val="00A86059"/>
    <w:rsid w:val="00A8682A"/>
    <w:rsid w:val="00A87275"/>
    <w:rsid w:val="00A877EA"/>
    <w:rsid w:val="00A90434"/>
    <w:rsid w:val="00A90848"/>
    <w:rsid w:val="00A90ADF"/>
    <w:rsid w:val="00A90D5D"/>
    <w:rsid w:val="00A919A8"/>
    <w:rsid w:val="00A92C50"/>
    <w:rsid w:val="00A94817"/>
    <w:rsid w:val="00A95E04"/>
    <w:rsid w:val="00A9702D"/>
    <w:rsid w:val="00AA09CE"/>
    <w:rsid w:val="00AA109A"/>
    <w:rsid w:val="00AA184D"/>
    <w:rsid w:val="00AA21D4"/>
    <w:rsid w:val="00AA242A"/>
    <w:rsid w:val="00AA3ADF"/>
    <w:rsid w:val="00AA4945"/>
    <w:rsid w:val="00AA4E30"/>
    <w:rsid w:val="00AA4F18"/>
    <w:rsid w:val="00AA7490"/>
    <w:rsid w:val="00AA7EB9"/>
    <w:rsid w:val="00AB0321"/>
    <w:rsid w:val="00AB21EA"/>
    <w:rsid w:val="00AB29DA"/>
    <w:rsid w:val="00AB2D5C"/>
    <w:rsid w:val="00AB30C4"/>
    <w:rsid w:val="00AB38FC"/>
    <w:rsid w:val="00AB3BFD"/>
    <w:rsid w:val="00AB4582"/>
    <w:rsid w:val="00AB4664"/>
    <w:rsid w:val="00AB51C0"/>
    <w:rsid w:val="00AB538D"/>
    <w:rsid w:val="00AB70F7"/>
    <w:rsid w:val="00AC078F"/>
    <w:rsid w:val="00AC12F5"/>
    <w:rsid w:val="00AC2A9D"/>
    <w:rsid w:val="00AC56CE"/>
    <w:rsid w:val="00AC59CF"/>
    <w:rsid w:val="00AC604F"/>
    <w:rsid w:val="00AC71B2"/>
    <w:rsid w:val="00AC79C0"/>
    <w:rsid w:val="00AC7EE4"/>
    <w:rsid w:val="00AD240B"/>
    <w:rsid w:val="00AD2F15"/>
    <w:rsid w:val="00AD34FD"/>
    <w:rsid w:val="00AD4224"/>
    <w:rsid w:val="00AD4E75"/>
    <w:rsid w:val="00AD5D5A"/>
    <w:rsid w:val="00AD6DC7"/>
    <w:rsid w:val="00AD74C8"/>
    <w:rsid w:val="00AE047F"/>
    <w:rsid w:val="00AE3181"/>
    <w:rsid w:val="00AE357C"/>
    <w:rsid w:val="00AE3F94"/>
    <w:rsid w:val="00AE6795"/>
    <w:rsid w:val="00AE6CB3"/>
    <w:rsid w:val="00AE6ED6"/>
    <w:rsid w:val="00AE7EDF"/>
    <w:rsid w:val="00AF07F9"/>
    <w:rsid w:val="00AF165B"/>
    <w:rsid w:val="00AF16C9"/>
    <w:rsid w:val="00AF3257"/>
    <w:rsid w:val="00AF4186"/>
    <w:rsid w:val="00AF4323"/>
    <w:rsid w:val="00AF4AF8"/>
    <w:rsid w:val="00AF59DA"/>
    <w:rsid w:val="00B006E7"/>
    <w:rsid w:val="00B01969"/>
    <w:rsid w:val="00B02FCB"/>
    <w:rsid w:val="00B04BED"/>
    <w:rsid w:val="00B07347"/>
    <w:rsid w:val="00B10470"/>
    <w:rsid w:val="00B10AEC"/>
    <w:rsid w:val="00B11E89"/>
    <w:rsid w:val="00B12515"/>
    <w:rsid w:val="00B1367C"/>
    <w:rsid w:val="00B14BD4"/>
    <w:rsid w:val="00B16963"/>
    <w:rsid w:val="00B1774E"/>
    <w:rsid w:val="00B2034E"/>
    <w:rsid w:val="00B2044E"/>
    <w:rsid w:val="00B21DE8"/>
    <w:rsid w:val="00B234B3"/>
    <w:rsid w:val="00B24FA2"/>
    <w:rsid w:val="00B25E60"/>
    <w:rsid w:val="00B26121"/>
    <w:rsid w:val="00B27C22"/>
    <w:rsid w:val="00B27D31"/>
    <w:rsid w:val="00B30BB7"/>
    <w:rsid w:val="00B3130A"/>
    <w:rsid w:val="00B320FF"/>
    <w:rsid w:val="00B32385"/>
    <w:rsid w:val="00B32B9E"/>
    <w:rsid w:val="00B32FB1"/>
    <w:rsid w:val="00B350EC"/>
    <w:rsid w:val="00B35AFE"/>
    <w:rsid w:val="00B40329"/>
    <w:rsid w:val="00B40B8D"/>
    <w:rsid w:val="00B4103B"/>
    <w:rsid w:val="00B422E2"/>
    <w:rsid w:val="00B432A2"/>
    <w:rsid w:val="00B4416E"/>
    <w:rsid w:val="00B45440"/>
    <w:rsid w:val="00B4724A"/>
    <w:rsid w:val="00B5219A"/>
    <w:rsid w:val="00B53BE1"/>
    <w:rsid w:val="00B5466A"/>
    <w:rsid w:val="00B546E5"/>
    <w:rsid w:val="00B54E07"/>
    <w:rsid w:val="00B54EBB"/>
    <w:rsid w:val="00B565C8"/>
    <w:rsid w:val="00B575ED"/>
    <w:rsid w:val="00B57F78"/>
    <w:rsid w:val="00B62F9E"/>
    <w:rsid w:val="00B6326B"/>
    <w:rsid w:val="00B652B5"/>
    <w:rsid w:val="00B66F7A"/>
    <w:rsid w:val="00B67C43"/>
    <w:rsid w:val="00B67ED0"/>
    <w:rsid w:val="00B70E53"/>
    <w:rsid w:val="00B71451"/>
    <w:rsid w:val="00B74278"/>
    <w:rsid w:val="00B74705"/>
    <w:rsid w:val="00B74730"/>
    <w:rsid w:val="00B75149"/>
    <w:rsid w:val="00B773C5"/>
    <w:rsid w:val="00B80201"/>
    <w:rsid w:val="00B803D6"/>
    <w:rsid w:val="00B83257"/>
    <w:rsid w:val="00B83A93"/>
    <w:rsid w:val="00B83B89"/>
    <w:rsid w:val="00B903E3"/>
    <w:rsid w:val="00B90D97"/>
    <w:rsid w:val="00B911C2"/>
    <w:rsid w:val="00B91DF8"/>
    <w:rsid w:val="00B93396"/>
    <w:rsid w:val="00B95300"/>
    <w:rsid w:val="00B9543E"/>
    <w:rsid w:val="00B9594C"/>
    <w:rsid w:val="00B969CB"/>
    <w:rsid w:val="00B96F03"/>
    <w:rsid w:val="00B9734C"/>
    <w:rsid w:val="00BA0B05"/>
    <w:rsid w:val="00BA1C6F"/>
    <w:rsid w:val="00BA314C"/>
    <w:rsid w:val="00BA52F8"/>
    <w:rsid w:val="00BA6C1F"/>
    <w:rsid w:val="00BA6D21"/>
    <w:rsid w:val="00BB1BEE"/>
    <w:rsid w:val="00BB1E94"/>
    <w:rsid w:val="00BB57F4"/>
    <w:rsid w:val="00BB64DA"/>
    <w:rsid w:val="00BB667B"/>
    <w:rsid w:val="00BB7712"/>
    <w:rsid w:val="00BC1222"/>
    <w:rsid w:val="00BC177D"/>
    <w:rsid w:val="00BC1947"/>
    <w:rsid w:val="00BC1A41"/>
    <w:rsid w:val="00BC2114"/>
    <w:rsid w:val="00BC240F"/>
    <w:rsid w:val="00BC2908"/>
    <w:rsid w:val="00BC37A5"/>
    <w:rsid w:val="00BC3FC3"/>
    <w:rsid w:val="00BC5224"/>
    <w:rsid w:val="00BC6BAB"/>
    <w:rsid w:val="00BC6FDF"/>
    <w:rsid w:val="00BC7725"/>
    <w:rsid w:val="00BC7AE4"/>
    <w:rsid w:val="00BC7D79"/>
    <w:rsid w:val="00BD0075"/>
    <w:rsid w:val="00BD02DD"/>
    <w:rsid w:val="00BD09E2"/>
    <w:rsid w:val="00BD2C45"/>
    <w:rsid w:val="00BD4A4B"/>
    <w:rsid w:val="00BD4C27"/>
    <w:rsid w:val="00BD626E"/>
    <w:rsid w:val="00BD6ABF"/>
    <w:rsid w:val="00BD6E92"/>
    <w:rsid w:val="00BD74FA"/>
    <w:rsid w:val="00BD7A22"/>
    <w:rsid w:val="00BE05BB"/>
    <w:rsid w:val="00BE0F25"/>
    <w:rsid w:val="00BE207E"/>
    <w:rsid w:val="00BE274E"/>
    <w:rsid w:val="00BE2B1B"/>
    <w:rsid w:val="00BE336C"/>
    <w:rsid w:val="00BE4D2C"/>
    <w:rsid w:val="00BE5835"/>
    <w:rsid w:val="00BE7308"/>
    <w:rsid w:val="00BE74DF"/>
    <w:rsid w:val="00BE7988"/>
    <w:rsid w:val="00BE7F6B"/>
    <w:rsid w:val="00BF0382"/>
    <w:rsid w:val="00BF082E"/>
    <w:rsid w:val="00BF0FC4"/>
    <w:rsid w:val="00BF1E0A"/>
    <w:rsid w:val="00BF27E9"/>
    <w:rsid w:val="00BF4212"/>
    <w:rsid w:val="00BF6F76"/>
    <w:rsid w:val="00C02978"/>
    <w:rsid w:val="00C034A9"/>
    <w:rsid w:val="00C03859"/>
    <w:rsid w:val="00C03DBF"/>
    <w:rsid w:val="00C04FA0"/>
    <w:rsid w:val="00C05E01"/>
    <w:rsid w:val="00C05E42"/>
    <w:rsid w:val="00C06075"/>
    <w:rsid w:val="00C063F1"/>
    <w:rsid w:val="00C078BD"/>
    <w:rsid w:val="00C11AF5"/>
    <w:rsid w:val="00C13805"/>
    <w:rsid w:val="00C15CA6"/>
    <w:rsid w:val="00C16807"/>
    <w:rsid w:val="00C2025F"/>
    <w:rsid w:val="00C214FA"/>
    <w:rsid w:val="00C2167D"/>
    <w:rsid w:val="00C21BCC"/>
    <w:rsid w:val="00C228FA"/>
    <w:rsid w:val="00C23390"/>
    <w:rsid w:val="00C23C07"/>
    <w:rsid w:val="00C2403A"/>
    <w:rsid w:val="00C24CC2"/>
    <w:rsid w:val="00C260F7"/>
    <w:rsid w:val="00C2632E"/>
    <w:rsid w:val="00C266D3"/>
    <w:rsid w:val="00C266DA"/>
    <w:rsid w:val="00C26FE9"/>
    <w:rsid w:val="00C27941"/>
    <w:rsid w:val="00C27BD3"/>
    <w:rsid w:val="00C27D03"/>
    <w:rsid w:val="00C30D8F"/>
    <w:rsid w:val="00C30ECF"/>
    <w:rsid w:val="00C31095"/>
    <w:rsid w:val="00C31607"/>
    <w:rsid w:val="00C32321"/>
    <w:rsid w:val="00C32332"/>
    <w:rsid w:val="00C349F0"/>
    <w:rsid w:val="00C34A1E"/>
    <w:rsid w:val="00C3720B"/>
    <w:rsid w:val="00C40A4A"/>
    <w:rsid w:val="00C41423"/>
    <w:rsid w:val="00C41D5D"/>
    <w:rsid w:val="00C429A1"/>
    <w:rsid w:val="00C43335"/>
    <w:rsid w:val="00C4334F"/>
    <w:rsid w:val="00C4434A"/>
    <w:rsid w:val="00C44974"/>
    <w:rsid w:val="00C44E9E"/>
    <w:rsid w:val="00C46098"/>
    <w:rsid w:val="00C46439"/>
    <w:rsid w:val="00C46B32"/>
    <w:rsid w:val="00C47A26"/>
    <w:rsid w:val="00C50556"/>
    <w:rsid w:val="00C5062B"/>
    <w:rsid w:val="00C50E1F"/>
    <w:rsid w:val="00C516EC"/>
    <w:rsid w:val="00C53DC9"/>
    <w:rsid w:val="00C55526"/>
    <w:rsid w:val="00C569A6"/>
    <w:rsid w:val="00C571A9"/>
    <w:rsid w:val="00C57A73"/>
    <w:rsid w:val="00C615A7"/>
    <w:rsid w:val="00C616BF"/>
    <w:rsid w:val="00C62C5D"/>
    <w:rsid w:val="00C64873"/>
    <w:rsid w:val="00C65A0A"/>
    <w:rsid w:val="00C66628"/>
    <w:rsid w:val="00C6723F"/>
    <w:rsid w:val="00C67B39"/>
    <w:rsid w:val="00C734C0"/>
    <w:rsid w:val="00C73966"/>
    <w:rsid w:val="00C73C3D"/>
    <w:rsid w:val="00C7422F"/>
    <w:rsid w:val="00C751BF"/>
    <w:rsid w:val="00C7651A"/>
    <w:rsid w:val="00C77280"/>
    <w:rsid w:val="00C7772C"/>
    <w:rsid w:val="00C778A6"/>
    <w:rsid w:val="00C812AA"/>
    <w:rsid w:val="00C81AD1"/>
    <w:rsid w:val="00C83111"/>
    <w:rsid w:val="00C84265"/>
    <w:rsid w:val="00C84ED5"/>
    <w:rsid w:val="00C87250"/>
    <w:rsid w:val="00C9070B"/>
    <w:rsid w:val="00C941DC"/>
    <w:rsid w:val="00C94791"/>
    <w:rsid w:val="00C96465"/>
    <w:rsid w:val="00C96D0A"/>
    <w:rsid w:val="00C97EDB"/>
    <w:rsid w:val="00CA001B"/>
    <w:rsid w:val="00CA01AD"/>
    <w:rsid w:val="00CA0417"/>
    <w:rsid w:val="00CA0456"/>
    <w:rsid w:val="00CA0D73"/>
    <w:rsid w:val="00CA1A52"/>
    <w:rsid w:val="00CA2625"/>
    <w:rsid w:val="00CA2C90"/>
    <w:rsid w:val="00CA3024"/>
    <w:rsid w:val="00CA3E46"/>
    <w:rsid w:val="00CA485C"/>
    <w:rsid w:val="00CA5403"/>
    <w:rsid w:val="00CA5475"/>
    <w:rsid w:val="00CA69EC"/>
    <w:rsid w:val="00CA6FE3"/>
    <w:rsid w:val="00CA76CF"/>
    <w:rsid w:val="00CA7880"/>
    <w:rsid w:val="00CB1161"/>
    <w:rsid w:val="00CB19DA"/>
    <w:rsid w:val="00CB1BF5"/>
    <w:rsid w:val="00CB3AF4"/>
    <w:rsid w:val="00CB3F45"/>
    <w:rsid w:val="00CB40A0"/>
    <w:rsid w:val="00CB44F6"/>
    <w:rsid w:val="00CB51FF"/>
    <w:rsid w:val="00CB77CB"/>
    <w:rsid w:val="00CC0334"/>
    <w:rsid w:val="00CC1692"/>
    <w:rsid w:val="00CC1B8B"/>
    <w:rsid w:val="00CC1DF5"/>
    <w:rsid w:val="00CC3A59"/>
    <w:rsid w:val="00CC3B45"/>
    <w:rsid w:val="00CC4253"/>
    <w:rsid w:val="00CC444E"/>
    <w:rsid w:val="00CC4804"/>
    <w:rsid w:val="00CC5133"/>
    <w:rsid w:val="00CC5F27"/>
    <w:rsid w:val="00CC63FE"/>
    <w:rsid w:val="00CC7437"/>
    <w:rsid w:val="00CC7752"/>
    <w:rsid w:val="00CD16A3"/>
    <w:rsid w:val="00CD1841"/>
    <w:rsid w:val="00CD20E1"/>
    <w:rsid w:val="00CD3BBB"/>
    <w:rsid w:val="00CD3C54"/>
    <w:rsid w:val="00CD51EC"/>
    <w:rsid w:val="00CD6961"/>
    <w:rsid w:val="00CD7CC7"/>
    <w:rsid w:val="00CE081E"/>
    <w:rsid w:val="00CE08DD"/>
    <w:rsid w:val="00CE09F2"/>
    <w:rsid w:val="00CE2CDA"/>
    <w:rsid w:val="00CE3521"/>
    <w:rsid w:val="00CE3BC2"/>
    <w:rsid w:val="00CE4873"/>
    <w:rsid w:val="00CE5723"/>
    <w:rsid w:val="00CE57FF"/>
    <w:rsid w:val="00CE6ED8"/>
    <w:rsid w:val="00CE74C3"/>
    <w:rsid w:val="00CF0025"/>
    <w:rsid w:val="00CF0EFF"/>
    <w:rsid w:val="00CF1168"/>
    <w:rsid w:val="00CF1C88"/>
    <w:rsid w:val="00CF3FC7"/>
    <w:rsid w:val="00CF4077"/>
    <w:rsid w:val="00CF4841"/>
    <w:rsid w:val="00CF5493"/>
    <w:rsid w:val="00CF67D8"/>
    <w:rsid w:val="00CF694E"/>
    <w:rsid w:val="00CF6BF4"/>
    <w:rsid w:val="00CF77C7"/>
    <w:rsid w:val="00CF7DE9"/>
    <w:rsid w:val="00D01398"/>
    <w:rsid w:val="00D01640"/>
    <w:rsid w:val="00D0189D"/>
    <w:rsid w:val="00D03B93"/>
    <w:rsid w:val="00D041B0"/>
    <w:rsid w:val="00D043DC"/>
    <w:rsid w:val="00D04528"/>
    <w:rsid w:val="00D04DD7"/>
    <w:rsid w:val="00D050BA"/>
    <w:rsid w:val="00D05E32"/>
    <w:rsid w:val="00D0640E"/>
    <w:rsid w:val="00D06FC6"/>
    <w:rsid w:val="00D106A3"/>
    <w:rsid w:val="00D11CE7"/>
    <w:rsid w:val="00D12281"/>
    <w:rsid w:val="00D13BE2"/>
    <w:rsid w:val="00D14D03"/>
    <w:rsid w:val="00D174F0"/>
    <w:rsid w:val="00D175B7"/>
    <w:rsid w:val="00D17707"/>
    <w:rsid w:val="00D26679"/>
    <w:rsid w:val="00D2772F"/>
    <w:rsid w:val="00D3020A"/>
    <w:rsid w:val="00D3079F"/>
    <w:rsid w:val="00D30C5E"/>
    <w:rsid w:val="00D3100A"/>
    <w:rsid w:val="00D312EB"/>
    <w:rsid w:val="00D318BF"/>
    <w:rsid w:val="00D33456"/>
    <w:rsid w:val="00D3348F"/>
    <w:rsid w:val="00D3413F"/>
    <w:rsid w:val="00D3477D"/>
    <w:rsid w:val="00D3483B"/>
    <w:rsid w:val="00D3497A"/>
    <w:rsid w:val="00D35B95"/>
    <w:rsid w:val="00D36B51"/>
    <w:rsid w:val="00D3705B"/>
    <w:rsid w:val="00D373B0"/>
    <w:rsid w:val="00D403B7"/>
    <w:rsid w:val="00D40C75"/>
    <w:rsid w:val="00D40F22"/>
    <w:rsid w:val="00D4142C"/>
    <w:rsid w:val="00D4229B"/>
    <w:rsid w:val="00D42F0B"/>
    <w:rsid w:val="00D45597"/>
    <w:rsid w:val="00D45823"/>
    <w:rsid w:val="00D45C32"/>
    <w:rsid w:val="00D462AD"/>
    <w:rsid w:val="00D46FF7"/>
    <w:rsid w:val="00D47AD5"/>
    <w:rsid w:val="00D518C3"/>
    <w:rsid w:val="00D51C09"/>
    <w:rsid w:val="00D532C6"/>
    <w:rsid w:val="00D5426B"/>
    <w:rsid w:val="00D54C4D"/>
    <w:rsid w:val="00D5599A"/>
    <w:rsid w:val="00D55B21"/>
    <w:rsid w:val="00D5693C"/>
    <w:rsid w:val="00D569AD"/>
    <w:rsid w:val="00D5793A"/>
    <w:rsid w:val="00D57E52"/>
    <w:rsid w:val="00D605E5"/>
    <w:rsid w:val="00D62A8B"/>
    <w:rsid w:val="00D64868"/>
    <w:rsid w:val="00D6594B"/>
    <w:rsid w:val="00D65F89"/>
    <w:rsid w:val="00D71595"/>
    <w:rsid w:val="00D71B33"/>
    <w:rsid w:val="00D72158"/>
    <w:rsid w:val="00D72E9A"/>
    <w:rsid w:val="00D740F4"/>
    <w:rsid w:val="00D7422C"/>
    <w:rsid w:val="00D802FD"/>
    <w:rsid w:val="00D869C5"/>
    <w:rsid w:val="00D92888"/>
    <w:rsid w:val="00D932E1"/>
    <w:rsid w:val="00D937A6"/>
    <w:rsid w:val="00D94A5A"/>
    <w:rsid w:val="00D97721"/>
    <w:rsid w:val="00DA0427"/>
    <w:rsid w:val="00DA05B7"/>
    <w:rsid w:val="00DA127D"/>
    <w:rsid w:val="00DA266F"/>
    <w:rsid w:val="00DA26A7"/>
    <w:rsid w:val="00DA2928"/>
    <w:rsid w:val="00DA30E8"/>
    <w:rsid w:val="00DA3AE2"/>
    <w:rsid w:val="00DA3B33"/>
    <w:rsid w:val="00DA42A3"/>
    <w:rsid w:val="00DA5B4D"/>
    <w:rsid w:val="00DA7075"/>
    <w:rsid w:val="00DA74A2"/>
    <w:rsid w:val="00DB0842"/>
    <w:rsid w:val="00DB1B33"/>
    <w:rsid w:val="00DB3F35"/>
    <w:rsid w:val="00DB550E"/>
    <w:rsid w:val="00DB6144"/>
    <w:rsid w:val="00DB6664"/>
    <w:rsid w:val="00DB6EAC"/>
    <w:rsid w:val="00DB73FB"/>
    <w:rsid w:val="00DB745E"/>
    <w:rsid w:val="00DB7CD4"/>
    <w:rsid w:val="00DC0DBE"/>
    <w:rsid w:val="00DC217C"/>
    <w:rsid w:val="00DC429D"/>
    <w:rsid w:val="00DC458D"/>
    <w:rsid w:val="00DC62D9"/>
    <w:rsid w:val="00DC6BCD"/>
    <w:rsid w:val="00DC6E17"/>
    <w:rsid w:val="00DC6F8F"/>
    <w:rsid w:val="00DC747D"/>
    <w:rsid w:val="00DD26B7"/>
    <w:rsid w:val="00DD35D4"/>
    <w:rsid w:val="00DD3848"/>
    <w:rsid w:val="00DD4DCA"/>
    <w:rsid w:val="00DD5181"/>
    <w:rsid w:val="00DD569F"/>
    <w:rsid w:val="00DD5B3A"/>
    <w:rsid w:val="00DD5CCB"/>
    <w:rsid w:val="00DD6003"/>
    <w:rsid w:val="00DD7B1D"/>
    <w:rsid w:val="00DE1A4C"/>
    <w:rsid w:val="00DE285A"/>
    <w:rsid w:val="00DE2F3F"/>
    <w:rsid w:val="00DE3E14"/>
    <w:rsid w:val="00DE5417"/>
    <w:rsid w:val="00DE5630"/>
    <w:rsid w:val="00DE5DD0"/>
    <w:rsid w:val="00DE608E"/>
    <w:rsid w:val="00DE7227"/>
    <w:rsid w:val="00DE76FC"/>
    <w:rsid w:val="00DF011C"/>
    <w:rsid w:val="00DF0BB3"/>
    <w:rsid w:val="00DF33A3"/>
    <w:rsid w:val="00DF3789"/>
    <w:rsid w:val="00DF3F22"/>
    <w:rsid w:val="00DF4241"/>
    <w:rsid w:val="00DF45B4"/>
    <w:rsid w:val="00DF4BAB"/>
    <w:rsid w:val="00DF5D14"/>
    <w:rsid w:val="00DF608E"/>
    <w:rsid w:val="00DF6CC5"/>
    <w:rsid w:val="00DF6FF1"/>
    <w:rsid w:val="00DF76E0"/>
    <w:rsid w:val="00E0139A"/>
    <w:rsid w:val="00E015A9"/>
    <w:rsid w:val="00E02883"/>
    <w:rsid w:val="00E04029"/>
    <w:rsid w:val="00E04242"/>
    <w:rsid w:val="00E10861"/>
    <w:rsid w:val="00E120BC"/>
    <w:rsid w:val="00E1376C"/>
    <w:rsid w:val="00E15635"/>
    <w:rsid w:val="00E16BEE"/>
    <w:rsid w:val="00E21B02"/>
    <w:rsid w:val="00E23869"/>
    <w:rsid w:val="00E23EEA"/>
    <w:rsid w:val="00E242D5"/>
    <w:rsid w:val="00E251B1"/>
    <w:rsid w:val="00E25CA8"/>
    <w:rsid w:val="00E26156"/>
    <w:rsid w:val="00E27323"/>
    <w:rsid w:val="00E3046F"/>
    <w:rsid w:val="00E30962"/>
    <w:rsid w:val="00E3099D"/>
    <w:rsid w:val="00E31CB4"/>
    <w:rsid w:val="00E333FB"/>
    <w:rsid w:val="00E3345C"/>
    <w:rsid w:val="00E36150"/>
    <w:rsid w:val="00E367BF"/>
    <w:rsid w:val="00E36EA0"/>
    <w:rsid w:val="00E36F7B"/>
    <w:rsid w:val="00E379CA"/>
    <w:rsid w:val="00E40778"/>
    <w:rsid w:val="00E41FE9"/>
    <w:rsid w:val="00E4501A"/>
    <w:rsid w:val="00E45135"/>
    <w:rsid w:val="00E4586E"/>
    <w:rsid w:val="00E45DEB"/>
    <w:rsid w:val="00E45EBA"/>
    <w:rsid w:val="00E464B9"/>
    <w:rsid w:val="00E469C1"/>
    <w:rsid w:val="00E46BFA"/>
    <w:rsid w:val="00E477BE"/>
    <w:rsid w:val="00E47B62"/>
    <w:rsid w:val="00E47ED2"/>
    <w:rsid w:val="00E511EA"/>
    <w:rsid w:val="00E51517"/>
    <w:rsid w:val="00E51F74"/>
    <w:rsid w:val="00E54533"/>
    <w:rsid w:val="00E55868"/>
    <w:rsid w:val="00E60C14"/>
    <w:rsid w:val="00E61815"/>
    <w:rsid w:val="00E61B4D"/>
    <w:rsid w:val="00E63806"/>
    <w:rsid w:val="00E65A34"/>
    <w:rsid w:val="00E65D86"/>
    <w:rsid w:val="00E66967"/>
    <w:rsid w:val="00E6717D"/>
    <w:rsid w:val="00E673C6"/>
    <w:rsid w:val="00E6754B"/>
    <w:rsid w:val="00E67E1C"/>
    <w:rsid w:val="00E67F79"/>
    <w:rsid w:val="00E70E2A"/>
    <w:rsid w:val="00E71B63"/>
    <w:rsid w:val="00E71BD4"/>
    <w:rsid w:val="00E72C1A"/>
    <w:rsid w:val="00E74BBE"/>
    <w:rsid w:val="00E763CD"/>
    <w:rsid w:val="00E76A0F"/>
    <w:rsid w:val="00E7711B"/>
    <w:rsid w:val="00E77E51"/>
    <w:rsid w:val="00E807D4"/>
    <w:rsid w:val="00E80C71"/>
    <w:rsid w:val="00E8114F"/>
    <w:rsid w:val="00E82425"/>
    <w:rsid w:val="00E828F9"/>
    <w:rsid w:val="00E82AF3"/>
    <w:rsid w:val="00E82B64"/>
    <w:rsid w:val="00E83E08"/>
    <w:rsid w:val="00E850A3"/>
    <w:rsid w:val="00E8528B"/>
    <w:rsid w:val="00E859BA"/>
    <w:rsid w:val="00E864F1"/>
    <w:rsid w:val="00E86A15"/>
    <w:rsid w:val="00E87034"/>
    <w:rsid w:val="00E870B0"/>
    <w:rsid w:val="00E90733"/>
    <w:rsid w:val="00E90F26"/>
    <w:rsid w:val="00E9272A"/>
    <w:rsid w:val="00E931A2"/>
    <w:rsid w:val="00E93D9A"/>
    <w:rsid w:val="00E96340"/>
    <w:rsid w:val="00EA022F"/>
    <w:rsid w:val="00EA26A5"/>
    <w:rsid w:val="00EA2E2E"/>
    <w:rsid w:val="00EA38D5"/>
    <w:rsid w:val="00EA4363"/>
    <w:rsid w:val="00EA5409"/>
    <w:rsid w:val="00EA566B"/>
    <w:rsid w:val="00EA5F10"/>
    <w:rsid w:val="00EA5F30"/>
    <w:rsid w:val="00EA6EA0"/>
    <w:rsid w:val="00EA6F59"/>
    <w:rsid w:val="00EA725B"/>
    <w:rsid w:val="00EA789A"/>
    <w:rsid w:val="00EA7F85"/>
    <w:rsid w:val="00EB219C"/>
    <w:rsid w:val="00EB321E"/>
    <w:rsid w:val="00EB62A2"/>
    <w:rsid w:val="00EB63C2"/>
    <w:rsid w:val="00EB64FC"/>
    <w:rsid w:val="00EB7B3E"/>
    <w:rsid w:val="00EC0B11"/>
    <w:rsid w:val="00EC0FC7"/>
    <w:rsid w:val="00EC3466"/>
    <w:rsid w:val="00EC37C6"/>
    <w:rsid w:val="00EC3CEA"/>
    <w:rsid w:val="00EC3DD6"/>
    <w:rsid w:val="00EC4D48"/>
    <w:rsid w:val="00EC6339"/>
    <w:rsid w:val="00EC744B"/>
    <w:rsid w:val="00EC778D"/>
    <w:rsid w:val="00EC7B5A"/>
    <w:rsid w:val="00ED1573"/>
    <w:rsid w:val="00ED1966"/>
    <w:rsid w:val="00ED3712"/>
    <w:rsid w:val="00ED419B"/>
    <w:rsid w:val="00ED4DA5"/>
    <w:rsid w:val="00ED5AAA"/>
    <w:rsid w:val="00ED5AF3"/>
    <w:rsid w:val="00ED6E55"/>
    <w:rsid w:val="00ED71E9"/>
    <w:rsid w:val="00ED7419"/>
    <w:rsid w:val="00ED7443"/>
    <w:rsid w:val="00EE050F"/>
    <w:rsid w:val="00EE081A"/>
    <w:rsid w:val="00EE1B70"/>
    <w:rsid w:val="00EE1EB5"/>
    <w:rsid w:val="00EE243B"/>
    <w:rsid w:val="00EE5AEA"/>
    <w:rsid w:val="00EE60DB"/>
    <w:rsid w:val="00EE654A"/>
    <w:rsid w:val="00EE7E38"/>
    <w:rsid w:val="00EE7EEA"/>
    <w:rsid w:val="00EF1D7E"/>
    <w:rsid w:val="00EF23FD"/>
    <w:rsid w:val="00EF2D5D"/>
    <w:rsid w:val="00EF39FC"/>
    <w:rsid w:val="00EF449C"/>
    <w:rsid w:val="00EF4CEE"/>
    <w:rsid w:val="00EF53E2"/>
    <w:rsid w:val="00EF5638"/>
    <w:rsid w:val="00EF56DF"/>
    <w:rsid w:val="00EF6801"/>
    <w:rsid w:val="00EF6F0E"/>
    <w:rsid w:val="00EF7F09"/>
    <w:rsid w:val="00F016CA"/>
    <w:rsid w:val="00F01E4F"/>
    <w:rsid w:val="00F04143"/>
    <w:rsid w:val="00F0482C"/>
    <w:rsid w:val="00F05C44"/>
    <w:rsid w:val="00F05E09"/>
    <w:rsid w:val="00F0740D"/>
    <w:rsid w:val="00F07750"/>
    <w:rsid w:val="00F07780"/>
    <w:rsid w:val="00F07DB3"/>
    <w:rsid w:val="00F106C0"/>
    <w:rsid w:val="00F10988"/>
    <w:rsid w:val="00F10A7A"/>
    <w:rsid w:val="00F10A86"/>
    <w:rsid w:val="00F11A0E"/>
    <w:rsid w:val="00F12149"/>
    <w:rsid w:val="00F12E25"/>
    <w:rsid w:val="00F13587"/>
    <w:rsid w:val="00F16387"/>
    <w:rsid w:val="00F173FD"/>
    <w:rsid w:val="00F203C7"/>
    <w:rsid w:val="00F210E0"/>
    <w:rsid w:val="00F21646"/>
    <w:rsid w:val="00F21917"/>
    <w:rsid w:val="00F21C85"/>
    <w:rsid w:val="00F23544"/>
    <w:rsid w:val="00F25ABF"/>
    <w:rsid w:val="00F25BBF"/>
    <w:rsid w:val="00F26C5B"/>
    <w:rsid w:val="00F27A4B"/>
    <w:rsid w:val="00F27BB1"/>
    <w:rsid w:val="00F311E3"/>
    <w:rsid w:val="00F31BEE"/>
    <w:rsid w:val="00F32B0E"/>
    <w:rsid w:val="00F331AF"/>
    <w:rsid w:val="00F33DC4"/>
    <w:rsid w:val="00F35946"/>
    <w:rsid w:val="00F359C0"/>
    <w:rsid w:val="00F37DBE"/>
    <w:rsid w:val="00F40203"/>
    <w:rsid w:val="00F411E2"/>
    <w:rsid w:val="00F4212C"/>
    <w:rsid w:val="00F421EA"/>
    <w:rsid w:val="00F430AC"/>
    <w:rsid w:val="00F44E12"/>
    <w:rsid w:val="00F45308"/>
    <w:rsid w:val="00F462D5"/>
    <w:rsid w:val="00F46975"/>
    <w:rsid w:val="00F477B9"/>
    <w:rsid w:val="00F516B5"/>
    <w:rsid w:val="00F53604"/>
    <w:rsid w:val="00F54A39"/>
    <w:rsid w:val="00F54B2D"/>
    <w:rsid w:val="00F54BBB"/>
    <w:rsid w:val="00F55625"/>
    <w:rsid w:val="00F55FAE"/>
    <w:rsid w:val="00F56422"/>
    <w:rsid w:val="00F60171"/>
    <w:rsid w:val="00F603C9"/>
    <w:rsid w:val="00F607F4"/>
    <w:rsid w:val="00F6086F"/>
    <w:rsid w:val="00F613FA"/>
    <w:rsid w:val="00F61795"/>
    <w:rsid w:val="00F6631F"/>
    <w:rsid w:val="00F67447"/>
    <w:rsid w:val="00F7059C"/>
    <w:rsid w:val="00F72112"/>
    <w:rsid w:val="00F723D6"/>
    <w:rsid w:val="00F724AB"/>
    <w:rsid w:val="00F75018"/>
    <w:rsid w:val="00F764DF"/>
    <w:rsid w:val="00F76942"/>
    <w:rsid w:val="00F77999"/>
    <w:rsid w:val="00F77E87"/>
    <w:rsid w:val="00F806A9"/>
    <w:rsid w:val="00F81390"/>
    <w:rsid w:val="00F81620"/>
    <w:rsid w:val="00F8217F"/>
    <w:rsid w:val="00F8229F"/>
    <w:rsid w:val="00F83113"/>
    <w:rsid w:val="00F83392"/>
    <w:rsid w:val="00F83C22"/>
    <w:rsid w:val="00F83E61"/>
    <w:rsid w:val="00F84521"/>
    <w:rsid w:val="00F8525D"/>
    <w:rsid w:val="00F86CF5"/>
    <w:rsid w:val="00F87451"/>
    <w:rsid w:val="00F906AB"/>
    <w:rsid w:val="00F91766"/>
    <w:rsid w:val="00F91A6E"/>
    <w:rsid w:val="00F9687E"/>
    <w:rsid w:val="00F96B7D"/>
    <w:rsid w:val="00FA0537"/>
    <w:rsid w:val="00FA0852"/>
    <w:rsid w:val="00FA1D08"/>
    <w:rsid w:val="00FA25EA"/>
    <w:rsid w:val="00FA2ECA"/>
    <w:rsid w:val="00FA2FA8"/>
    <w:rsid w:val="00FA3D82"/>
    <w:rsid w:val="00FA5F04"/>
    <w:rsid w:val="00FA65E5"/>
    <w:rsid w:val="00FA6A63"/>
    <w:rsid w:val="00FB1348"/>
    <w:rsid w:val="00FB1EA0"/>
    <w:rsid w:val="00FB2144"/>
    <w:rsid w:val="00FB2DA4"/>
    <w:rsid w:val="00FB45C2"/>
    <w:rsid w:val="00FB6B51"/>
    <w:rsid w:val="00FC2786"/>
    <w:rsid w:val="00FC36CB"/>
    <w:rsid w:val="00FC3779"/>
    <w:rsid w:val="00FC3C59"/>
    <w:rsid w:val="00FC400D"/>
    <w:rsid w:val="00FC58AA"/>
    <w:rsid w:val="00FC5982"/>
    <w:rsid w:val="00FC5AC6"/>
    <w:rsid w:val="00FC6F54"/>
    <w:rsid w:val="00FC7979"/>
    <w:rsid w:val="00FC7CE2"/>
    <w:rsid w:val="00FD1489"/>
    <w:rsid w:val="00FD15A5"/>
    <w:rsid w:val="00FD2169"/>
    <w:rsid w:val="00FD245E"/>
    <w:rsid w:val="00FD24D9"/>
    <w:rsid w:val="00FD2B4A"/>
    <w:rsid w:val="00FD43CA"/>
    <w:rsid w:val="00FD4B6C"/>
    <w:rsid w:val="00FD67DB"/>
    <w:rsid w:val="00FD760A"/>
    <w:rsid w:val="00FD7C6C"/>
    <w:rsid w:val="00FE1B51"/>
    <w:rsid w:val="00FE1CB9"/>
    <w:rsid w:val="00FE54A8"/>
    <w:rsid w:val="00FE66D2"/>
    <w:rsid w:val="00FE6741"/>
    <w:rsid w:val="00FE6B1A"/>
    <w:rsid w:val="00FE730D"/>
    <w:rsid w:val="00FF06F9"/>
    <w:rsid w:val="00FF0FB4"/>
    <w:rsid w:val="00FF1A88"/>
    <w:rsid w:val="00FF2308"/>
    <w:rsid w:val="00FF257F"/>
    <w:rsid w:val="00FF2B2A"/>
    <w:rsid w:val="00FF2B97"/>
    <w:rsid w:val="00FF386C"/>
    <w:rsid w:val="00FF3AAA"/>
    <w:rsid w:val="00FF47D8"/>
    <w:rsid w:val="00FF4EE6"/>
    <w:rsid w:val="00FF683E"/>
    <w:rsid w:val="00FF6A5B"/>
    <w:rsid w:val="00FF6ADC"/>
    <w:rsid w:val="00FF7BBC"/>
    <w:rsid w:val="016367A9"/>
    <w:rsid w:val="016875DE"/>
    <w:rsid w:val="0198109D"/>
    <w:rsid w:val="01A21D3D"/>
    <w:rsid w:val="01A7160B"/>
    <w:rsid w:val="01B34A13"/>
    <w:rsid w:val="01CA0F56"/>
    <w:rsid w:val="01D225A9"/>
    <w:rsid w:val="01DB319C"/>
    <w:rsid w:val="01E812A5"/>
    <w:rsid w:val="02146A9E"/>
    <w:rsid w:val="02165375"/>
    <w:rsid w:val="02362A34"/>
    <w:rsid w:val="0255131A"/>
    <w:rsid w:val="028669BE"/>
    <w:rsid w:val="028E6154"/>
    <w:rsid w:val="02A1484F"/>
    <w:rsid w:val="02C93D1E"/>
    <w:rsid w:val="02EE64DC"/>
    <w:rsid w:val="02F91254"/>
    <w:rsid w:val="02FA7D70"/>
    <w:rsid w:val="02FF0E39"/>
    <w:rsid w:val="03040CCD"/>
    <w:rsid w:val="0337506D"/>
    <w:rsid w:val="033F28C5"/>
    <w:rsid w:val="03404E17"/>
    <w:rsid w:val="036C4C82"/>
    <w:rsid w:val="03C0185E"/>
    <w:rsid w:val="03C933E8"/>
    <w:rsid w:val="03D84221"/>
    <w:rsid w:val="03E06D69"/>
    <w:rsid w:val="04043AA5"/>
    <w:rsid w:val="04054390"/>
    <w:rsid w:val="04114DD0"/>
    <w:rsid w:val="042774DD"/>
    <w:rsid w:val="043415E6"/>
    <w:rsid w:val="04386532"/>
    <w:rsid w:val="04533824"/>
    <w:rsid w:val="046B703C"/>
    <w:rsid w:val="046E71A4"/>
    <w:rsid w:val="049F6495"/>
    <w:rsid w:val="04A55DD3"/>
    <w:rsid w:val="04BD2C91"/>
    <w:rsid w:val="04EE3570"/>
    <w:rsid w:val="05091BBF"/>
    <w:rsid w:val="050D4AAD"/>
    <w:rsid w:val="051F1C74"/>
    <w:rsid w:val="05253B7D"/>
    <w:rsid w:val="05293A29"/>
    <w:rsid w:val="0531136C"/>
    <w:rsid w:val="05595CE0"/>
    <w:rsid w:val="056720A5"/>
    <w:rsid w:val="05746F57"/>
    <w:rsid w:val="05750484"/>
    <w:rsid w:val="059268C4"/>
    <w:rsid w:val="05A91BD8"/>
    <w:rsid w:val="05C24554"/>
    <w:rsid w:val="05C542BE"/>
    <w:rsid w:val="060A2EF6"/>
    <w:rsid w:val="061239DA"/>
    <w:rsid w:val="06217F69"/>
    <w:rsid w:val="062671DC"/>
    <w:rsid w:val="066936FF"/>
    <w:rsid w:val="06A32BEF"/>
    <w:rsid w:val="06AE5C02"/>
    <w:rsid w:val="06BC4F18"/>
    <w:rsid w:val="06C03FCE"/>
    <w:rsid w:val="06F85D5A"/>
    <w:rsid w:val="071378F5"/>
    <w:rsid w:val="073E7A70"/>
    <w:rsid w:val="076D5427"/>
    <w:rsid w:val="07731EDA"/>
    <w:rsid w:val="078B6A16"/>
    <w:rsid w:val="07A92931"/>
    <w:rsid w:val="07B97C0C"/>
    <w:rsid w:val="07BC033E"/>
    <w:rsid w:val="07F76E9B"/>
    <w:rsid w:val="08143623"/>
    <w:rsid w:val="08423CCF"/>
    <w:rsid w:val="084724A0"/>
    <w:rsid w:val="085B6E5F"/>
    <w:rsid w:val="086F6B5F"/>
    <w:rsid w:val="088C733D"/>
    <w:rsid w:val="08A912EA"/>
    <w:rsid w:val="08D55229"/>
    <w:rsid w:val="090A7197"/>
    <w:rsid w:val="090B4468"/>
    <w:rsid w:val="090D2269"/>
    <w:rsid w:val="091A5CFC"/>
    <w:rsid w:val="093830AD"/>
    <w:rsid w:val="09536CE2"/>
    <w:rsid w:val="0955265E"/>
    <w:rsid w:val="09587F5E"/>
    <w:rsid w:val="096D30CF"/>
    <w:rsid w:val="0970144A"/>
    <w:rsid w:val="097662B8"/>
    <w:rsid w:val="09A45698"/>
    <w:rsid w:val="09EC4E9A"/>
    <w:rsid w:val="09F843D2"/>
    <w:rsid w:val="0A153B29"/>
    <w:rsid w:val="0A2A173C"/>
    <w:rsid w:val="0A2B3E51"/>
    <w:rsid w:val="0A2B7F73"/>
    <w:rsid w:val="0A327048"/>
    <w:rsid w:val="0A3D6B70"/>
    <w:rsid w:val="0A4038E0"/>
    <w:rsid w:val="0A541832"/>
    <w:rsid w:val="0A704C96"/>
    <w:rsid w:val="0A7C54DC"/>
    <w:rsid w:val="0A835F27"/>
    <w:rsid w:val="0A97493E"/>
    <w:rsid w:val="0AB715F7"/>
    <w:rsid w:val="0AF33435"/>
    <w:rsid w:val="0AF67B8B"/>
    <w:rsid w:val="0B0D7FE5"/>
    <w:rsid w:val="0B15387F"/>
    <w:rsid w:val="0B1E1C49"/>
    <w:rsid w:val="0B1F1152"/>
    <w:rsid w:val="0B210311"/>
    <w:rsid w:val="0B2B6D61"/>
    <w:rsid w:val="0B5D0834"/>
    <w:rsid w:val="0B6D0ACF"/>
    <w:rsid w:val="0B80430E"/>
    <w:rsid w:val="0BBB2DCC"/>
    <w:rsid w:val="0BC11263"/>
    <w:rsid w:val="0BD95940"/>
    <w:rsid w:val="0BD96283"/>
    <w:rsid w:val="0BDA5AF1"/>
    <w:rsid w:val="0BDC010B"/>
    <w:rsid w:val="0BED7F86"/>
    <w:rsid w:val="0C510802"/>
    <w:rsid w:val="0C557747"/>
    <w:rsid w:val="0C5C3990"/>
    <w:rsid w:val="0C641D70"/>
    <w:rsid w:val="0CAC280D"/>
    <w:rsid w:val="0CB03CBE"/>
    <w:rsid w:val="0CB21BBB"/>
    <w:rsid w:val="0D1260BC"/>
    <w:rsid w:val="0D2D522C"/>
    <w:rsid w:val="0D3A4542"/>
    <w:rsid w:val="0D3F2706"/>
    <w:rsid w:val="0D542D4A"/>
    <w:rsid w:val="0D655386"/>
    <w:rsid w:val="0D690A8B"/>
    <w:rsid w:val="0D6B1BDB"/>
    <w:rsid w:val="0D7E2680"/>
    <w:rsid w:val="0D817E81"/>
    <w:rsid w:val="0D9A7DDF"/>
    <w:rsid w:val="0D9C032D"/>
    <w:rsid w:val="0DAF4280"/>
    <w:rsid w:val="0DB14815"/>
    <w:rsid w:val="0DB5640A"/>
    <w:rsid w:val="0DBD1298"/>
    <w:rsid w:val="0DF07EFE"/>
    <w:rsid w:val="0DFA753B"/>
    <w:rsid w:val="0E076AE9"/>
    <w:rsid w:val="0E404795"/>
    <w:rsid w:val="0E405FEE"/>
    <w:rsid w:val="0E421E9F"/>
    <w:rsid w:val="0E8A38D7"/>
    <w:rsid w:val="0EB32AAA"/>
    <w:rsid w:val="0EB421D9"/>
    <w:rsid w:val="0EBD3DC2"/>
    <w:rsid w:val="0EBF7133"/>
    <w:rsid w:val="0EDD4F42"/>
    <w:rsid w:val="0EF75F06"/>
    <w:rsid w:val="0F0240D5"/>
    <w:rsid w:val="0F0B4575"/>
    <w:rsid w:val="0F1D022F"/>
    <w:rsid w:val="0F3D22EA"/>
    <w:rsid w:val="0F410888"/>
    <w:rsid w:val="0F4B0B20"/>
    <w:rsid w:val="0F512D6C"/>
    <w:rsid w:val="0F542C0B"/>
    <w:rsid w:val="0F596ABB"/>
    <w:rsid w:val="0F6770D5"/>
    <w:rsid w:val="0F856685"/>
    <w:rsid w:val="0F8A5F06"/>
    <w:rsid w:val="0F946EF7"/>
    <w:rsid w:val="0FB924B8"/>
    <w:rsid w:val="0FBC4C86"/>
    <w:rsid w:val="0FCC1533"/>
    <w:rsid w:val="0FF73288"/>
    <w:rsid w:val="104963C3"/>
    <w:rsid w:val="10A32F80"/>
    <w:rsid w:val="10B412F6"/>
    <w:rsid w:val="10B81047"/>
    <w:rsid w:val="10E55ACF"/>
    <w:rsid w:val="11025A9A"/>
    <w:rsid w:val="11096801"/>
    <w:rsid w:val="11111F38"/>
    <w:rsid w:val="11272C03"/>
    <w:rsid w:val="112D07CA"/>
    <w:rsid w:val="113611C5"/>
    <w:rsid w:val="11624886"/>
    <w:rsid w:val="11663B15"/>
    <w:rsid w:val="116C2CA3"/>
    <w:rsid w:val="11854C1C"/>
    <w:rsid w:val="11870049"/>
    <w:rsid w:val="11981D27"/>
    <w:rsid w:val="1199418B"/>
    <w:rsid w:val="11B70481"/>
    <w:rsid w:val="11B87EE0"/>
    <w:rsid w:val="11B90BA4"/>
    <w:rsid w:val="11B968D1"/>
    <w:rsid w:val="11BA6625"/>
    <w:rsid w:val="11BE75E5"/>
    <w:rsid w:val="11C0272D"/>
    <w:rsid w:val="11C65737"/>
    <w:rsid w:val="11D6551C"/>
    <w:rsid w:val="11FE094F"/>
    <w:rsid w:val="12176AF0"/>
    <w:rsid w:val="1221145F"/>
    <w:rsid w:val="1252421A"/>
    <w:rsid w:val="126352D8"/>
    <w:rsid w:val="12843EF9"/>
    <w:rsid w:val="12A80CE4"/>
    <w:rsid w:val="12B36E39"/>
    <w:rsid w:val="12D04077"/>
    <w:rsid w:val="12D36D20"/>
    <w:rsid w:val="12D90C47"/>
    <w:rsid w:val="12EA5CBC"/>
    <w:rsid w:val="12EB221A"/>
    <w:rsid w:val="12F37483"/>
    <w:rsid w:val="13043ED4"/>
    <w:rsid w:val="13077C95"/>
    <w:rsid w:val="130804C5"/>
    <w:rsid w:val="132052BC"/>
    <w:rsid w:val="132A1CFF"/>
    <w:rsid w:val="132C1521"/>
    <w:rsid w:val="13684457"/>
    <w:rsid w:val="139C762C"/>
    <w:rsid w:val="13AE5522"/>
    <w:rsid w:val="13B801BA"/>
    <w:rsid w:val="13BA3578"/>
    <w:rsid w:val="13CF24C7"/>
    <w:rsid w:val="13F21EF0"/>
    <w:rsid w:val="13F55F47"/>
    <w:rsid w:val="13FB7CB1"/>
    <w:rsid w:val="1403461B"/>
    <w:rsid w:val="142349C8"/>
    <w:rsid w:val="143D6DFB"/>
    <w:rsid w:val="14534C64"/>
    <w:rsid w:val="145452E5"/>
    <w:rsid w:val="145E6879"/>
    <w:rsid w:val="1469268B"/>
    <w:rsid w:val="147D702C"/>
    <w:rsid w:val="148B4C81"/>
    <w:rsid w:val="14B745A3"/>
    <w:rsid w:val="14D13334"/>
    <w:rsid w:val="14D230EC"/>
    <w:rsid w:val="14EB1883"/>
    <w:rsid w:val="15053359"/>
    <w:rsid w:val="15342FF4"/>
    <w:rsid w:val="15372973"/>
    <w:rsid w:val="154272B5"/>
    <w:rsid w:val="15504B0A"/>
    <w:rsid w:val="1552040A"/>
    <w:rsid w:val="15585A39"/>
    <w:rsid w:val="15643520"/>
    <w:rsid w:val="156D0C34"/>
    <w:rsid w:val="15782848"/>
    <w:rsid w:val="159A5456"/>
    <w:rsid w:val="15C27804"/>
    <w:rsid w:val="15CF287D"/>
    <w:rsid w:val="15D63BFD"/>
    <w:rsid w:val="15DA6A1D"/>
    <w:rsid w:val="15DC5609"/>
    <w:rsid w:val="15EE3AFE"/>
    <w:rsid w:val="15FB56D6"/>
    <w:rsid w:val="1614190E"/>
    <w:rsid w:val="16301FF7"/>
    <w:rsid w:val="163B20BE"/>
    <w:rsid w:val="163E43EA"/>
    <w:rsid w:val="16450C97"/>
    <w:rsid w:val="169C4E56"/>
    <w:rsid w:val="16A950A8"/>
    <w:rsid w:val="16B329A8"/>
    <w:rsid w:val="16B53EAE"/>
    <w:rsid w:val="16CC1E75"/>
    <w:rsid w:val="16E4751C"/>
    <w:rsid w:val="16EB10EA"/>
    <w:rsid w:val="17076B0E"/>
    <w:rsid w:val="17095CC7"/>
    <w:rsid w:val="1726179A"/>
    <w:rsid w:val="1729581A"/>
    <w:rsid w:val="1732467E"/>
    <w:rsid w:val="174258ED"/>
    <w:rsid w:val="175A2E64"/>
    <w:rsid w:val="17896CFA"/>
    <w:rsid w:val="17A722AB"/>
    <w:rsid w:val="17BF5F86"/>
    <w:rsid w:val="17D45A8C"/>
    <w:rsid w:val="17E21328"/>
    <w:rsid w:val="17F049CF"/>
    <w:rsid w:val="17FB18BA"/>
    <w:rsid w:val="182D7E75"/>
    <w:rsid w:val="184C55BE"/>
    <w:rsid w:val="187E478C"/>
    <w:rsid w:val="18985C69"/>
    <w:rsid w:val="189B493E"/>
    <w:rsid w:val="18DF3E5F"/>
    <w:rsid w:val="18E81BB0"/>
    <w:rsid w:val="18FB22C0"/>
    <w:rsid w:val="18FC210A"/>
    <w:rsid w:val="18FE1D0C"/>
    <w:rsid w:val="19031A95"/>
    <w:rsid w:val="190469FF"/>
    <w:rsid w:val="190E112B"/>
    <w:rsid w:val="192B5C72"/>
    <w:rsid w:val="196B5DCD"/>
    <w:rsid w:val="196E39FC"/>
    <w:rsid w:val="197E36B0"/>
    <w:rsid w:val="19B53069"/>
    <w:rsid w:val="19B74183"/>
    <w:rsid w:val="19DF46A0"/>
    <w:rsid w:val="19F87913"/>
    <w:rsid w:val="1A0B2B00"/>
    <w:rsid w:val="1A464DC4"/>
    <w:rsid w:val="1A97792D"/>
    <w:rsid w:val="1AA90ECC"/>
    <w:rsid w:val="1AFF7A69"/>
    <w:rsid w:val="1B101607"/>
    <w:rsid w:val="1B1115F9"/>
    <w:rsid w:val="1B2F60F5"/>
    <w:rsid w:val="1B3B17AF"/>
    <w:rsid w:val="1B3E6618"/>
    <w:rsid w:val="1B610FF3"/>
    <w:rsid w:val="1B6A5707"/>
    <w:rsid w:val="1BCF2EAD"/>
    <w:rsid w:val="1C0F6306"/>
    <w:rsid w:val="1C5A1835"/>
    <w:rsid w:val="1C6108BB"/>
    <w:rsid w:val="1C6A5362"/>
    <w:rsid w:val="1C7E1E02"/>
    <w:rsid w:val="1CA848A1"/>
    <w:rsid w:val="1CAA22AB"/>
    <w:rsid w:val="1CDD7500"/>
    <w:rsid w:val="1CE005C0"/>
    <w:rsid w:val="1CE354ED"/>
    <w:rsid w:val="1CE576F2"/>
    <w:rsid w:val="1CFB75A6"/>
    <w:rsid w:val="1D047A26"/>
    <w:rsid w:val="1D0B47AB"/>
    <w:rsid w:val="1D1C03D7"/>
    <w:rsid w:val="1D4941F3"/>
    <w:rsid w:val="1D4D3358"/>
    <w:rsid w:val="1D4F79D3"/>
    <w:rsid w:val="1D516E45"/>
    <w:rsid w:val="1D581142"/>
    <w:rsid w:val="1D6015F5"/>
    <w:rsid w:val="1D621892"/>
    <w:rsid w:val="1D656F74"/>
    <w:rsid w:val="1D7579CC"/>
    <w:rsid w:val="1D8437F8"/>
    <w:rsid w:val="1D9317B9"/>
    <w:rsid w:val="1D9E6CC4"/>
    <w:rsid w:val="1DD151B5"/>
    <w:rsid w:val="1DE04BB8"/>
    <w:rsid w:val="1E1861CC"/>
    <w:rsid w:val="1E2E61DF"/>
    <w:rsid w:val="1E54580E"/>
    <w:rsid w:val="1E757AD8"/>
    <w:rsid w:val="1E8162F9"/>
    <w:rsid w:val="1EAB5D97"/>
    <w:rsid w:val="1EC006F7"/>
    <w:rsid w:val="1EFB350D"/>
    <w:rsid w:val="1F0032CD"/>
    <w:rsid w:val="1F0506DA"/>
    <w:rsid w:val="1F1719EE"/>
    <w:rsid w:val="1F247D23"/>
    <w:rsid w:val="1F335FF9"/>
    <w:rsid w:val="1F3F0A29"/>
    <w:rsid w:val="1F4437D9"/>
    <w:rsid w:val="1F572B28"/>
    <w:rsid w:val="1F730F71"/>
    <w:rsid w:val="1F7E179E"/>
    <w:rsid w:val="1F964275"/>
    <w:rsid w:val="1F9A00E9"/>
    <w:rsid w:val="1FA70684"/>
    <w:rsid w:val="1FB13E0C"/>
    <w:rsid w:val="1FC83696"/>
    <w:rsid w:val="1FCC3ECC"/>
    <w:rsid w:val="200377F1"/>
    <w:rsid w:val="20135EB8"/>
    <w:rsid w:val="20136430"/>
    <w:rsid w:val="202A6055"/>
    <w:rsid w:val="202B25F8"/>
    <w:rsid w:val="2070307B"/>
    <w:rsid w:val="20B34CB4"/>
    <w:rsid w:val="21051386"/>
    <w:rsid w:val="213B421E"/>
    <w:rsid w:val="2142329E"/>
    <w:rsid w:val="21461CA4"/>
    <w:rsid w:val="215060E1"/>
    <w:rsid w:val="21607D4A"/>
    <w:rsid w:val="21630DBA"/>
    <w:rsid w:val="21756B59"/>
    <w:rsid w:val="217921CB"/>
    <w:rsid w:val="218920EB"/>
    <w:rsid w:val="21A116E9"/>
    <w:rsid w:val="21BB54E6"/>
    <w:rsid w:val="21CC533A"/>
    <w:rsid w:val="21D87015"/>
    <w:rsid w:val="21DB2DD3"/>
    <w:rsid w:val="21E51107"/>
    <w:rsid w:val="222C0C9D"/>
    <w:rsid w:val="22506514"/>
    <w:rsid w:val="2253695F"/>
    <w:rsid w:val="22782792"/>
    <w:rsid w:val="22892C17"/>
    <w:rsid w:val="228E60BF"/>
    <w:rsid w:val="22935B46"/>
    <w:rsid w:val="22961598"/>
    <w:rsid w:val="22BF2576"/>
    <w:rsid w:val="22D73079"/>
    <w:rsid w:val="22E22C59"/>
    <w:rsid w:val="23332500"/>
    <w:rsid w:val="233D435E"/>
    <w:rsid w:val="23467316"/>
    <w:rsid w:val="234D3929"/>
    <w:rsid w:val="23541932"/>
    <w:rsid w:val="235A53A3"/>
    <w:rsid w:val="236B0D9A"/>
    <w:rsid w:val="23726DB6"/>
    <w:rsid w:val="23812F0C"/>
    <w:rsid w:val="23826133"/>
    <w:rsid w:val="239E0EFF"/>
    <w:rsid w:val="23DC536C"/>
    <w:rsid w:val="240D11B3"/>
    <w:rsid w:val="240D352F"/>
    <w:rsid w:val="242877DE"/>
    <w:rsid w:val="242C2029"/>
    <w:rsid w:val="244A5795"/>
    <w:rsid w:val="247A75E9"/>
    <w:rsid w:val="24922D42"/>
    <w:rsid w:val="24927187"/>
    <w:rsid w:val="24B41DC8"/>
    <w:rsid w:val="24B527D7"/>
    <w:rsid w:val="24B578FA"/>
    <w:rsid w:val="24D25A79"/>
    <w:rsid w:val="24D276CB"/>
    <w:rsid w:val="24EC172E"/>
    <w:rsid w:val="25252237"/>
    <w:rsid w:val="253C7BF0"/>
    <w:rsid w:val="2575528E"/>
    <w:rsid w:val="258F3E43"/>
    <w:rsid w:val="25900048"/>
    <w:rsid w:val="25A45A3C"/>
    <w:rsid w:val="25A4761E"/>
    <w:rsid w:val="25BF622B"/>
    <w:rsid w:val="25E12785"/>
    <w:rsid w:val="25EF29F1"/>
    <w:rsid w:val="25F640C3"/>
    <w:rsid w:val="2613318A"/>
    <w:rsid w:val="26151600"/>
    <w:rsid w:val="26236782"/>
    <w:rsid w:val="262B5DD3"/>
    <w:rsid w:val="26536E6E"/>
    <w:rsid w:val="26581E6E"/>
    <w:rsid w:val="2671641F"/>
    <w:rsid w:val="26A86578"/>
    <w:rsid w:val="26B25084"/>
    <w:rsid w:val="26B54B63"/>
    <w:rsid w:val="26C7354E"/>
    <w:rsid w:val="26CA7391"/>
    <w:rsid w:val="26CB737B"/>
    <w:rsid w:val="26D32E9B"/>
    <w:rsid w:val="26DE0FD1"/>
    <w:rsid w:val="26EA6341"/>
    <w:rsid w:val="2709690F"/>
    <w:rsid w:val="271946A1"/>
    <w:rsid w:val="271F7879"/>
    <w:rsid w:val="27283F67"/>
    <w:rsid w:val="2737475D"/>
    <w:rsid w:val="27393819"/>
    <w:rsid w:val="2739606C"/>
    <w:rsid w:val="273D3222"/>
    <w:rsid w:val="27404151"/>
    <w:rsid w:val="278B23EE"/>
    <w:rsid w:val="27933B92"/>
    <w:rsid w:val="27B13E90"/>
    <w:rsid w:val="27B25551"/>
    <w:rsid w:val="27B457B1"/>
    <w:rsid w:val="27CB63C1"/>
    <w:rsid w:val="27CC1648"/>
    <w:rsid w:val="280129D7"/>
    <w:rsid w:val="28046835"/>
    <w:rsid w:val="280744DD"/>
    <w:rsid w:val="281C4D85"/>
    <w:rsid w:val="285C4CC5"/>
    <w:rsid w:val="286C493A"/>
    <w:rsid w:val="28A0271E"/>
    <w:rsid w:val="28A94DC4"/>
    <w:rsid w:val="28E45CE4"/>
    <w:rsid w:val="29084ACB"/>
    <w:rsid w:val="29176FB2"/>
    <w:rsid w:val="292E7DEF"/>
    <w:rsid w:val="29352E54"/>
    <w:rsid w:val="293D5638"/>
    <w:rsid w:val="294B26CB"/>
    <w:rsid w:val="295371ED"/>
    <w:rsid w:val="29547BC4"/>
    <w:rsid w:val="29607448"/>
    <w:rsid w:val="296733FA"/>
    <w:rsid w:val="296A3B7E"/>
    <w:rsid w:val="296E0005"/>
    <w:rsid w:val="298753F5"/>
    <w:rsid w:val="299C6CB5"/>
    <w:rsid w:val="29AA01EA"/>
    <w:rsid w:val="29AC16E3"/>
    <w:rsid w:val="29AE1F6A"/>
    <w:rsid w:val="29C3093C"/>
    <w:rsid w:val="29D94976"/>
    <w:rsid w:val="29EF4D95"/>
    <w:rsid w:val="2A223EAC"/>
    <w:rsid w:val="2A305EC5"/>
    <w:rsid w:val="2A385AB0"/>
    <w:rsid w:val="2A474E87"/>
    <w:rsid w:val="2A502E1B"/>
    <w:rsid w:val="2A75021C"/>
    <w:rsid w:val="2ABC12C1"/>
    <w:rsid w:val="2AD013C9"/>
    <w:rsid w:val="2AE45309"/>
    <w:rsid w:val="2AFE7817"/>
    <w:rsid w:val="2B3C5CD7"/>
    <w:rsid w:val="2B4E79D6"/>
    <w:rsid w:val="2B723DAF"/>
    <w:rsid w:val="2B7F6461"/>
    <w:rsid w:val="2B9B4238"/>
    <w:rsid w:val="2BA14AA2"/>
    <w:rsid w:val="2BAC4D2D"/>
    <w:rsid w:val="2BC362DB"/>
    <w:rsid w:val="2BF15B26"/>
    <w:rsid w:val="2C134AEF"/>
    <w:rsid w:val="2C440AF0"/>
    <w:rsid w:val="2C49107F"/>
    <w:rsid w:val="2C6150EC"/>
    <w:rsid w:val="2C6C1E69"/>
    <w:rsid w:val="2C703E76"/>
    <w:rsid w:val="2C775DE3"/>
    <w:rsid w:val="2C787A0A"/>
    <w:rsid w:val="2C8D45AA"/>
    <w:rsid w:val="2C920118"/>
    <w:rsid w:val="2CC275EE"/>
    <w:rsid w:val="2CC610BB"/>
    <w:rsid w:val="2CCC7A2F"/>
    <w:rsid w:val="2CD70A53"/>
    <w:rsid w:val="2CED30D0"/>
    <w:rsid w:val="2CFE5A16"/>
    <w:rsid w:val="2D163D00"/>
    <w:rsid w:val="2D21013D"/>
    <w:rsid w:val="2D3C61BB"/>
    <w:rsid w:val="2D497F94"/>
    <w:rsid w:val="2D4E158F"/>
    <w:rsid w:val="2D665687"/>
    <w:rsid w:val="2D71574D"/>
    <w:rsid w:val="2DCD08D2"/>
    <w:rsid w:val="2DDB0EC9"/>
    <w:rsid w:val="2E046913"/>
    <w:rsid w:val="2E142328"/>
    <w:rsid w:val="2E1B6A31"/>
    <w:rsid w:val="2E22383C"/>
    <w:rsid w:val="2E3E7E1E"/>
    <w:rsid w:val="2E4A005C"/>
    <w:rsid w:val="2E6B713C"/>
    <w:rsid w:val="2E8D4481"/>
    <w:rsid w:val="2EC75549"/>
    <w:rsid w:val="2EE029D9"/>
    <w:rsid w:val="2EEA6CB4"/>
    <w:rsid w:val="2EEB7BCD"/>
    <w:rsid w:val="2F1500AB"/>
    <w:rsid w:val="2F172EC5"/>
    <w:rsid w:val="2F174FC5"/>
    <w:rsid w:val="2F1C72FC"/>
    <w:rsid w:val="2F7A6E34"/>
    <w:rsid w:val="2F8D2746"/>
    <w:rsid w:val="2FA05C1F"/>
    <w:rsid w:val="2FA3501B"/>
    <w:rsid w:val="2FA7374A"/>
    <w:rsid w:val="2FAD647E"/>
    <w:rsid w:val="2FC4512F"/>
    <w:rsid w:val="2FDC50D3"/>
    <w:rsid w:val="2FDC6090"/>
    <w:rsid w:val="2FE47560"/>
    <w:rsid w:val="2FE774D1"/>
    <w:rsid w:val="305B0301"/>
    <w:rsid w:val="305F56A6"/>
    <w:rsid w:val="30635070"/>
    <w:rsid w:val="30906EF6"/>
    <w:rsid w:val="309D3F50"/>
    <w:rsid w:val="30A54307"/>
    <w:rsid w:val="30B34956"/>
    <w:rsid w:val="30B63EEC"/>
    <w:rsid w:val="30C3638E"/>
    <w:rsid w:val="31087BF7"/>
    <w:rsid w:val="312B4AB9"/>
    <w:rsid w:val="312C379D"/>
    <w:rsid w:val="313773A0"/>
    <w:rsid w:val="3149611E"/>
    <w:rsid w:val="31726389"/>
    <w:rsid w:val="31947902"/>
    <w:rsid w:val="31A002FB"/>
    <w:rsid w:val="31C70184"/>
    <w:rsid w:val="31D0645F"/>
    <w:rsid w:val="31E43451"/>
    <w:rsid w:val="31E85DFB"/>
    <w:rsid w:val="31F40A62"/>
    <w:rsid w:val="32085EEA"/>
    <w:rsid w:val="320A1B3D"/>
    <w:rsid w:val="320F059C"/>
    <w:rsid w:val="322335E5"/>
    <w:rsid w:val="3249748F"/>
    <w:rsid w:val="326F27DC"/>
    <w:rsid w:val="327A6A63"/>
    <w:rsid w:val="328A6951"/>
    <w:rsid w:val="329C377B"/>
    <w:rsid w:val="32CC41E5"/>
    <w:rsid w:val="32D02BEB"/>
    <w:rsid w:val="32E4768D"/>
    <w:rsid w:val="330A6CB9"/>
    <w:rsid w:val="331B1AB0"/>
    <w:rsid w:val="331F02EB"/>
    <w:rsid w:val="33747E76"/>
    <w:rsid w:val="33834DCB"/>
    <w:rsid w:val="33840509"/>
    <w:rsid w:val="338E4103"/>
    <w:rsid w:val="33C15A9D"/>
    <w:rsid w:val="33CE43C5"/>
    <w:rsid w:val="33E2761E"/>
    <w:rsid w:val="33ED0162"/>
    <w:rsid w:val="340F40E3"/>
    <w:rsid w:val="342E2D1F"/>
    <w:rsid w:val="349537D0"/>
    <w:rsid w:val="34AC5E26"/>
    <w:rsid w:val="34AC6C79"/>
    <w:rsid w:val="34B12734"/>
    <w:rsid w:val="34B13101"/>
    <w:rsid w:val="34CF26B1"/>
    <w:rsid w:val="34D47520"/>
    <w:rsid w:val="34F311A7"/>
    <w:rsid w:val="350E6DA3"/>
    <w:rsid w:val="35163620"/>
    <w:rsid w:val="352765C3"/>
    <w:rsid w:val="353201D7"/>
    <w:rsid w:val="3535399F"/>
    <w:rsid w:val="35590CB7"/>
    <w:rsid w:val="35A3323F"/>
    <w:rsid w:val="35A57D75"/>
    <w:rsid w:val="35DC5DA7"/>
    <w:rsid w:val="35EF23E4"/>
    <w:rsid w:val="35FA58A0"/>
    <w:rsid w:val="35FD7BF0"/>
    <w:rsid w:val="360062A6"/>
    <w:rsid w:val="36255FB7"/>
    <w:rsid w:val="36292D10"/>
    <w:rsid w:val="36331F78"/>
    <w:rsid w:val="36507499"/>
    <w:rsid w:val="366F2379"/>
    <w:rsid w:val="36733026"/>
    <w:rsid w:val="367869D2"/>
    <w:rsid w:val="367C1606"/>
    <w:rsid w:val="36956799"/>
    <w:rsid w:val="36B56003"/>
    <w:rsid w:val="36C52477"/>
    <w:rsid w:val="36CF3198"/>
    <w:rsid w:val="36DC5B61"/>
    <w:rsid w:val="36E35581"/>
    <w:rsid w:val="372254D3"/>
    <w:rsid w:val="372B426A"/>
    <w:rsid w:val="37342E1F"/>
    <w:rsid w:val="37482116"/>
    <w:rsid w:val="375E2A17"/>
    <w:rsid w:val="37701980"/>
    <w:rsid w:val="37704D44"/>
    <w:rsid w:val="37791B81"/>
    <w:rsid w:val="37B56AE5"/>
    <w:rsid w:val="37BD3B90"/>
    <w:rsid w:val="37C60190"/>
    <w:rsid w:val="37D231F3"/>
    <w:rsid w:val="38124733"/>
    <w:rsid w:val="38161214"/>
    <w:rsid w:val="38255FAB"/>
    <w:rsid w:val="382F7379"/>
    <w:rsid w:val="38460B75"/>
    <w:rsid w:val="38594F04"/>
    <w:rsid w:val="386A541B"/>
    <w:rsid w:val="389030DC"/>
    <w:rsid w:val="389265DF"/>
    <w:rsid w:val="38C04A2B"/>
    <w:rsid w:val="38DA2963"/>
    <w:rsid w:val="38F35173"/>
    <w:rsid w:val="38FE7E8D"/>
    <w:rsid w:val="391332E6"/>
    <w:rsid w:val="393A2270"/>
    <w:rsid w:val="39420DA8"/>
    <w:rsid w:val="39577622"/>
    <w:rsid w:val="396E7FD8"/>
    <w:rsid w:val="39845706"/>
    <w:rsid w:val="398F4E35"/>
    <w:rsid w:val="399A358E"/>
    <w:rsid w:val="399B22FD"/>
    <w:rsid w:val="399F5886"/>
    <w:rsid w:val="39A828A4"/>
    <w:rsid w:val="39AE22AB"/>
    <w:rsid w:val="39B8452F"/>
    <w:rsid w:val="39C51092"/>
    <w:rsid w:val="39D8321D"/>
    <w:rsid w:val="39F60425"/>
    <w:rsid w:val="39F6604A"/>
    <w:rsid w:val="39F871AB"/>
    <w:rsid w:val="3A042735"/>
    <w:rsid w:val="3A372822"/>
    <w:rsid w:val="3A4B7EC8"/>
    <w:rsid w:val="3A7468A2"/>
    <w:rsid w:val="3A7C7AEB"/>
    <w:rsid w:val="3A8123ED"/>
    <w:rsid w:val="3A847FC8"/>
    <w:rsid w:val="3A900623"/>
    <w:rsid w:val="3AB47011"/>
    <w:rsid w:val="3AC457DD"/>
    <w:rsid w:val="3AC93C11"/>
    <w:rsid w:val="3ADC4430"/>
    <w:rsid w:val="3AFA4DFF"/>
    <w:rsid w:val="3B4433D7"/>
    <w:rsid w:val="3B5516BD"/>
    <w:rsid w:val="3B556C7B"/>
    <w:rsid w:val="3B613F8C"/>
    <w:rsid w:val="3B6B759A"/>
    <w:rsid w:val="3B735229"/>
    <w:rsid w:val="3B7E4A28"/>
    <w:rsid w:val="3B800185"/>
    <w:rsid w:val="3B8E47F4"/>
    <w:rsid w:val="3BA21668"/>
    <w:rsid w:val="3BB83909"/>
    <w:rsid w:val="3C233025"/>
    <w:rsid w:val="3C2A03C4"/>
    <w:rsid w:val="3C344BBD"/>
    <w:rsid w:val="3C3F2298"/>
    <w:rsid w:val="3C4022A1"/>
    <w:rsid w:val="3C424119"/>
    <w:rsid w:val="3C715EC3"/>
    <w:rsid w:val="3C907D69"/>
    <w:rsid w:val="3CB52527"/>
    <w:rsid w:val="3CBF5AFE"/>
    <w:rsid w:val="3CD50896"/>
    <w:rsid w:val="3CDF2D1F"/>
    <w:rsid w:val="3CE10208"/>
    <w:rsid w:val="3CF727B5"/>
    <w:rsid w:val="3CF82D55"/>
    <w:rsid w:val="3D05589E"/>
    <w:rsid w:val="3D1B482A"/>
    <w:rsid w:val="3D1D51DD"/>
    <w:rsid w:val="3D3848DA"/>
    <w:rsid w:val="3D5866E5"/>
    <w:rsid w:val="3D5F768E"/>
    <w:rsid w:val="3D7171BB"/>
    <w:rsid w:val="3D8B00CB"/>
    <w:rsid w:val="3D945D40"/>
    <w:rsid w:val="3DA83401"/>
    <w:rsid w:val="3DE17755"/>
    <w:rsid w:val="3DE96EC7"/>
    <w:rsid w:val="3DF55E4C"/>
    <w:rsid w:val="3E011EC6"/>
    <w:rsid w:val="3E111C8C"/>
    <w:rsid w:val="3E1A786F"/>
    <w:rsid w:val="3E841C59"/>
    <w:rsid w:val="3EA02384"/>
    <w:rsid w:val="3EAD5C3B"/>
    <w:rsid w:val="3ED56E3D"/>
    <w:rsid w:val="3EEC59CA"/>
    <w:rsid w:val="3EF828EF"/>
    <w:rsid w:val="3F0C5EFE"/>
    <w:rsid w:val="3F116342"/>
    <w:rsid w:val="3F292D30"/>
    <w:rsid w:val="3F2F41CE"/>
    <w:rsid w:val="3F2F51B9"/>
    <w:rsid w:val="3F3F4A5A"/>
    <w:rsid w:val="3F7A3AC2"/>
    <w:rsid w:val="3F830750"/>
    <w:rsid w:val="3F912D81"/>
    <w:rsid w:val="3F956057"/>
    <w:rsid w:val="3F9D2AC9"/>
    <w:rsid w:val="3FB719AB"/>
    <w:rsid w:val="3FC26926"/>
    <w:rsid w:val="3FC741B0"/>
    <w:rsid w:val="3FCE5FBC"/>
    <w:rsid w:val="3FD055D7"/>
    <w:rsid w:val="3FDF3D15"/>
    <w:rsid w:val="3FEA00DC"/>
    <w:rsid w:val="4002022E"/>
    <w:rsid w:val="400675C3"/>
    <w:rsid w:val="40297384"/>
    <w:rsid w:val="402B1091"/>
    <w:rsid w:val="40337EAD"/>
    <w:rsid w:val="403B0B6F"/>
    <w:rsid w:val="40442A93"/>
    <w:rsid w:val="404460EA"/>
    <w:rsid w:val="4048144F"/>
    <w:rsid w:val="40484987"/>
    <w:rsid w:val="404B79F8"/>
    <w:rsid w:val="40542142"/>
    <w:rsid w:val="40564FBC"/>
    <w:rsid w:val="40645CC5"/>
    <w:rsid w:val="407A4354"/>
    <w:rsid w:val="40D667EF"/>
    <w:rsid w:val="40E8556B"/>
    <w:rsid w:val="40F45376"/>
    <w:rsid w:val="41040E3C"/>
    <w:rsid w:val="41184CDA"/>
    <w:rsid w:val="41440C19"/>
    <w:rsid w:val="415B2D61"/>
    <w:rsid w:val="416F7CCF"/>
    <w:rsid w:val="41815D2F"/>
    <w:rsid w:val="41884094"/>
    <w:rsid w:val="419747DD"/>
    <w:rsid w:val="41A50CE7"/>
    <w:rsid w:val="41C92543"/>
    <w:rsid w:val="41F0685E"/>
    <w:rsid w:val="42001581"/>
    <w:rsid w:val="42045BDC"/>
    <w:rsid w:val="42137847"/>
    <w:rsid w:val="4248097F"/>
    <w:rsid w:val="4254643D"/>
    <w:rsid w:val="42642DA8"/>
    <w:rsid w:val="42733236"/>
    <w:rsid w:val="427A777E"/>
    <w:rsid w:val="42973E05"/>
    <w:rsid w:val="42AC04D0"/>
    <w:rsid w:val="42B01E94"/>
    <w:rsid w:val="42BF630F"/>
    <w:rsid w:val="42C515BB"/>
    <w:rsid w:val="42CF7B25"/>
    <w:rsid w:val="42D00296"/>
    <w:rsid w:val="42E74620"/>
    <w:rsid w:val="42FB7EAC"/>
    <w:rsid w:val="43124DB2"/>
    <w:rsid w:val="4320289F"/>
    <w:rsid w:val="432043B2"/>
    <w:rsid w:val="43326C4D"/>
    <w:rsid w:val="435C001A"/>
    <w:rsid w:val="43793441"/>
    <w:rsid w:val="437E1298"/>
    <w:rsid w:val="438A1CC5"/>
    <w:rsid w:val="439422FD"/>
    <w:rsid w:val="43AD097E"/>
    <w:rsid w:val="43BE0C6F"/>
    <w:rsid w:val="43BE3BFD"/>
    <w:rsid w:val="43C425E1"/>
    <w:rsid w:val="43F54BF4"/>
    <w:rsid w:val="43F63E0D"/>
    <w:rsid w:val="440801DD"/>
    <w:rsid w:val="440A0AC3"/>
    <w:rsid w:val="44107720"/>
    <w:rsid w:val="4427562F"/>
    <w:rsid w:val="445A1933"/>
    <w:rsid w:val="445A306B"/>
    <w:rsid w:val="44673E2A"/>
    <w:rsid w:val="447B1B50"/>
    <w:rsid w:val="4490400C"/>
    <w:rsid w:val="44931256"/>
    <w:rsid w:val="44E036A5"/>
    <w:rsid w:val="44E43A49"/>
    <w:rsid w:val="44FE0F5A"/>
    <w:rsid w:val="451851EA"/>
    <w:rsid w:val="45284074"/>
    <w:rsid w:val="45287A02"/>
    <w:rsid w:val="452A6789"/>
    <w:rsid w:val="453C62BB"/>
    <w:rsid w:val="45455877"/>
    <w:rsid w:val="45642789"/>
    <w:rsid w:val="45792FB7"/>
    <w:rsid w:val="457B724C"/>
    <w:rsid w:val="45AE315F"/>
    <w:rsid w:val="45CD2D28"/>
    <w:rsid w:val="45F92A29"/>
    <w:rsid w:val="45FE1FE4"/>
    <w:rsid w:val="46011FAD"/>
    <w:rsid w:val="462A10E3"/>
    <w:rsid w:val="462D6697"/>
    <w:rsid w:val="465902CA"/>
    <w:rsid w:val="465B6787"/>
    <w:rsid w:val="466D69A8"/>
    <w:rsid w:val="46B57E51"/>
    <w:rsid w:val="46C042A0"/>
    <w:rsid w:val="46C70800"/>
    <w:rsid w:val="46CD39B0"/>
    <w:rsid w:val="46EE3A7C"/>
    <w:rsid w:val="470D5FFC"/>
    <w:rsid w:val="472850C0"/>
    <w:rsid w:val="473D6C2B"/>
    <w:rsid w:val="4762324D"/>
    <w:rsid w:val="477A1D28"/>
    <w:rsid w:val="479245F9"/>
    <w:rsid w:val="47927B6A"/>
    <w:rsid w:val="47AE02B5"/>
    <w:rsid w:val="47BE0940"/>
    <w:rsid w:val="47BF466E"/>
    <w:rsid w:val="47C5589D"/>
    <w:rsid w:val="47D472D7"/>
    <w:rsid w:val="47D83CEB"/>
    <w:rsid w:val="480830EE"/>
    <w:rsid w:val="481B4DB8"/>
    <w:rsid w:val="48330445"/>
    <w:rsid w:val="48364A31"/>
    <w:rsid w:val="483A5C59"/>
    <w:rsid w:val="483A7F05"/>
    <w:rsid w:val="4841003D"/>
    <w:rsid w:val="48536C35"/>
    <w:rsid w:val="48912E94"/>
    <w:rsid w:val="4891671A"/>
    <w:rsid w:val="4894287D"/>
    <w:rsid w:val="489B2425"/>
    <w:rsid w:val="48B71520"/>
    <w:rsid w:val="48D00057"/>
    <w:rsid w:val="48D3260F"/>
    <w:rsid w:val="490E5F3F"/>
    <w:rsid w:val="490E6D6F"/>
    <w:rsid w:val="49191787"/>
    <w:rsid w:val="49264A0F"/>
    <w:rsid w:val="496941FF"/>
    <w:rsid w:val="496C7549"/>
    <w:rsid w:val="499F1056"/>
    <w:rsid w:val="49B05835"/>
    <w:rsid w:val="49CF7426"/>
    <w:rsid w:val="49E33EC9"/>
    <w:rsid w:val="49E44D8A"/>
    <w:rsid w:val="49EC5FF4"/>
    <w:rsid w:val="49EF3AEA"/>
    <w:rsid w:val="49F77713"/>
    <w:rsid w:val="49FB27EE"/>
    <w:rsid w:val="4A121195"/>
    <w:rsid w:val="4A236EB1"/>
    <w:rsid w:val="4A322099"/>
    <w:rsid w:val="4A36378E"/>
    <w:rsid w:val="4A3F7193"/>
    <w:rsid w:val="4A4051EF"/>
    <w:rsid w:val="4A423EE2"/>
    <w:rsid w:val="4A495D2D"/>
    <w:rsid w:val="4A5F29EB"/>
    <w:rsid w:val="4A64791A"/>
    <w:rsid w:val="4A6A6442"/>
    <w:rsid w:val="4A8423CD"/>
    <w:rsid w:val="4A8920D8"/>
    <w:rsid w:val="4A957CFB"/>
    <w:rsid w:val="4AAC1875"/>
    <w:rsid w:val="4ABA6D48"/>
    <w:rsid w:val="4AC61F3D"/>
    <w:rsid w:val="4AD8290A"/>
    <w:rsid w:val="4ADE1D62"/>
    <w:rsid w:val="4AE73971"/>
    <w:rsid w:val="4AF24623"/>
    <w:rsid w:val="4AF9238C"/>
    <w:rsid w:val="4B0B13AD"/>
    <w:rsid w:val="4B0D79C2"/>
    <w:rsid w:val="4B707B5B"/>
    <w:rsid w:val="4B755BA3"/>
    <w:rsid w:val="4B8078D6"/>
    <w:rsid w:val="4B82457B"/>
    <w:rsid w:val="4B841923"/>
    <w:rsid w:val="4B9E69A7"/>
    <w:rsid w:val="4BAE1441"/>
    <w:rsid w:val="4BAF7A2E"/>
    <w:rsid w:val="4BD47F27"/>
    <w:rsid w:val="4BDD6368"/>
    <w:rsid w:val="4BEF5A8E"/>
    <w:rsid w:val="4C1F543B"/>
    <w:rsid w:val="4C245667"/>
    <w:rsid w:val="4C3322B6"/>
    <w:rsid w:val="4C3A36A3"/>
    <w:rsid w:val="4C421A8A"/>
    <w:rsid w:val="4C424CCC"/>
    <w:rsid w:val="4C576F06"/>
    <w:rsid w:val="4C6C695F"/>
    <w:rsid w:val="4C73767A"/>
    <w:rsid w:val="4C7C35D5"/>
    <w:rsid w:val="4CDF6B7E"/>
    <w:rsid w:val="4CF83E7A"/>
    <w:rsid w:val="4D247B5D"/>
    <w:rsid w:val="4D3E5E49"/>
    <w:rsid w:val="4D6A4931"/>
    <w:rsid w:val="4D6D76B7"/>
    <w:rsid w:val="4D76426C"/>
    <w:rsid w:val="4DA43BD6"/>
    <w:rsid w:val="4DB47654"/>
    <w:rsid w:val="4DC63991"/>
    <w:rsid w:val="4DC73B97"/>
    <w:rsid w:val="4DD5793A"/>
    <w:rsid w:val="4DEA050B"/>
    <w:rsid w:val="4DF34243"/>
    <w:rsid w:val="4E0D521D"/>
    <w:rsid w:val="4E186CE7"/>
    <w:rsid w:val="4E3C24E9"/>
    <w:rsid w:val="4E581E19"/>
    <w:rsid w:val="4E5827B1"/>
    <w:rsid w:val="4E5D6199"/>
    <w:rsid w:val="4E76155D"/>
    <w:rsid w:val="4E7A3786"/>
    <w:rsid w:val="4E833A0E"/>
    <w:rsid w:val="4ED54C66"/>
    <w:rsid w:val="4EE419FD"/>
    <w:rsid w:val="4EF43555"/>
    <w:rsid w:val="4EF948C9"/>
    <w:rsid w:val="4F005201"/>
    <w:rsid w:val="4F2C3E65"/>
    <w:rsid w:val="4F5C5A81"/>
    <w:rsid w:val="4F8C0F11"/>
    <w:rsid w:val="4FAE6A0C"/>
    <w:rsid w:val="4FC06ED2"/>
    <w:rsid w:val="4FD97D15"/>
    <w:rsid w:val="50016D3B"/>
    <w:rsid w:val="5001708B"/>
    <w:rsid w:val="5005312A"/>
    <w:rsid w:val="50081AAF"/>
    <w:rsid w:val="501837B0"/>
    <w:rsid w:val="50207E94"/>
    <w:rsid w:val="504F561A"/>
    <w:rsid w:val="505165ED"/>
    <w:rsid w:val="50832EE6"/>
    <w:rsid w:val="50C4668F"/>
    <w:rsid w:val="50F007D8"/>
    <w:rsid w:val="514D20B1"/>
    <w:rsid w:val="514E2D70"/>
    <w:rsid w:val="51580A20"/>
    <w:rsid w:val="519B7108"/>
    <w:rsid w:val="51BD0E26"/>
    <w:rsid w:val="51C43505"/>
    <w:rsid w:val="51CA2F34"/>
    <w:rsid w:val="51D84EF3"/>
    <w:rsid w:val="51DF4501"/>
    <w:rsid w:val="51E53A07"/>
    <w:rsid w:val="5206251F"/>
    <w:rsid w:val="520C4C0F"/>
    <w:rsid w:val="523D116B"/>
    <w:rsid w:val="52405317"/>
    <w:rsid w:val="524D0715"/>
    <w:rsid w:val="52501913"/>
    <w:rsid w:val="52617B9A"/>
    <w:rsid w:val="527B3ECE"/>
    <w:rsid w:val="52A56F95"/>
    <w:rsid w:val="52D15899"/>
    <w:rsid w:val="52D2676F"/>
    <w:rsid w:val="52E30177"/>
    <w:rsid w:val="52F05286"/>
    <w:rsid w:val="5306714B"/>
    <w:rsid w:val="531C52ED"/>
    <w:rsid w:val="5328717E"/>
    <w:rsid w:val="533B291C"/>
    <w:rsid w:val="533E5A53"/>
    <w:rsid w:val="53417F4F"/>
    <w:rsid w:val="535C1CA7"/>
    <w:rsid w:val="536E3862"/>
    <w:rsid w:val="537F430A"/>
    <w:rsid w:val="538F7E27"/>
    <w:rsid w:val="53A4550B"/>
    <w:rsid w:val="53BC2B2A"/>
    <w:rsid w:val="53C54A7E"/>
    <w:rsid w:val="53D7279A"/>
    <w:rsid w:val="53E97734"/>
    <w:rsid w:val="540B196F"/>
    <w:rsid w:val="540E06F6"/>
    <w:rsid w:val="54136D7C"/>
    <w:rsid w:val="54791FA3"/>
    <w:rsid w:val="549402BD"/>
    <w:rsid w:val="549537A4"/>
    <w:rsid w:val="549A2529"/>
    <w:rsid w:val="54E167E0"/>
    <w:rsid w:val="54EC2723"/>
    <w:rsid w:val="550C0DEA"/>
    <w:rsid w:val="5514217D"/>
    <w:rsid w:val="551F1587"/>
    <w:rsid w:val="55311752"/>
    <w:rsid w:val="555B0AE3"/>
    <w:rsid w:val="556520A3"/>
    <w:rsid w:val="55833F56"/>
    <w:rsid w:val="55901FFA"/>
    <w:rsid w:val="55980885"/>
    <w:rsid w:val="55A13923"/>
    <w:rsid w:val="55A4620D"/>
    <w:rsid w:val="55B151A9"/>
    <w:rsid w:val="55BB0B38"/>
    <w:rsid w:val="55BF0E11"/>
    <w:rsid w:val="55D447DE"/>
    <w:rsid w:val="55EC2B74"/>
    <w:rsid w:val="55F552E0"/>
    <w:rsid w:val="55FB6C6E"/>
    <w:rsid w:val="56126841"/>
    <w:rsid w:val="56136CDA"/>
    <w:rsid w:val="56150ED4"/>
    <w:rsid w:val="56182B77"/>
    <w:rsid w:val="56252ADC"/>
    <w:rsid w:val="563E3517"/>
    <w:rsid w:val="56455D97"/>
    <w:rsid w:val="56486A5C"/>
    <w:rsid w:val="564D31A3"/>
    <w:rsid w:val="565E5B98"/>
    <w:rsid w:val="566D14D9"/>
    <w:rsid w:val="5690589F"/>
    <w:rsid w:val="569E772A"/>
    <w:rsid w:val="56BF34E2"/>
    <w:rsid w:val="56D67B51"/>
    <w:rsid w:val="56D70299"/>
    <w:rsid w:val="56F31AAD"/>
    <w:rsid w:val="571A7074"/>
    <w:rsid w:val="575876A2"/>
    <w:rsid w:val="576B5B79"/>
    <w:rsid w:val="576E7521"/>
    <w:rsid w:val="577A118B"/>
    <w:rsid w:val="578431C6"/>
    <w:rsid w:val="578D1E67"/>
    <w:rsid w:val="579F67E1"/>
    <w:rsid w:val="57A35F14"/>
    <w:rsid w:val="57AD28AD"/>
    <w:rsid w:val="57B32DAE"/>
    <w:rsid w:val="57CC4919"/>
    <w:rsid w:val="58190916"/>
    <w:rsid w:val="583C2693"/>
    <w:rsid w:val="58587D80"/>
    <w:rsid w:val="586D4764"/>
    <w:rsid w:val="58761D2A"/>
    <w:rsid w:val="589255DC"/>
    <w:rsid w:val="58981098"/>
    <w:rsid w:val="589A7A26"/>
    <w:rsid w:val="58AB1D89"/>
    <w:rsid w:val="58EB0027"/>
    <w:rsid w:val="5901277B"/>
    <w:rsid w:val="590B1266"/>
    <w:rsid w:val="592525C4"/>
    <w:rsid w:val="59321CCB"/>
    <w:rsid w:val="594B060D"/>
    <w:rsid w:val="59753409"/>
    <w:rsid w:val="599B0211"/>
    <w:rsid w:val="59A16768"/>
    <w:rsid w:val="59D455F2"/>
    <w:rsid w:val="59E24831"/>
    <w:rsid w:val="59F2429E"/>
    <w:rsid w:val="5A0F66F7"/>
    <w:rsid w:val="5A126D51"/>
    <w:rsid w:val="5A136031"/>
    <w:rsid w:val="5A586CCF"/>
    <w:rsid w:val="5AA80549"/>
    <w:rsid w:val="5ABE7745"/>
    <w:rsid w:val="5AC45BA6"/>
    <w:rsid w:val="5ADF2C22"/>
    <w:rsid w:val="5AE57691"/>
    <w:rsid w:val="5AEA4836"/>
    <w:rsid w:val="5AF2149F"/>
    <w:rsid w:val="5AF35146"/>
    <w:rsid w:val="5B263A9C"/>
    <w:rsid w:val="5B3204AE"/>
    <w:rsid w:val="5B355BAF"/>
    <w:rsid w:val="5B397FB7"/>
    <w:rsid w:val="5B490CC0"/>
    <w:rsid w:val="5B640683"/>
    <w:rsid w:val="5B7641FB"/>
    <w:rsid w:val="5B775FD2"/>
    <w:rsid w:val="5B7E3700"/>
    <w:rsid w:val="5B8A0C0A"/>
    <w:rsid w:val="5B8F66C5"/>
    <w:rsid w:val="5BAF32FA"/>
    <w:rsid w:val="5BB046AB"/>
    <w:rsid w:val="5C0B12DC"/>
    <w:rsid w:val="5C0C6BEE"/>
    <w:rsid w:val="5C0E47B4"/>
    <w:rsid w:val="5C161418"/>
    <w:rsid w:val="5C303836"/>
    <w:rsid w:val="5C3E421A"/>
    <w:rsid w:val="5C50541C"/>
    <w:rsid w:val="5C551902"/>
    <w:rsid w:val="5C58346F"/>
    <w:rsid w:val="5C62269E"/>
    <w:rsid w:val="5C8567D6"/>
    <w:rsid w:val="5C86060B"/>
    <w:rsid w:val="5C867ADA"/>
    <w:rsid w:val="5C8A1451"/>
    <w:rsid w:val="5C993F97"/>
    <w:rsid w:val="5C9D39DA"/>
    <w:rsid w:val="5CAD799A"/>
    <w:rsid w:val="5CB669E4"/>
    <w:rsid w:val="5CB815AE"/>
    <w:rsid w:val="5CBA126F"/>
    <w:rsid w:val="5CC7352C"/>
    <w:rsid w:val="5CEB5280"/>
    <w:rsid w:val="5D070EA5"/>
    <w:rsid w:val="5D090ACA"/>
    <w:rsid w:val="5D226AF7"/>
    <w:rsid w:val="5D2F4A70"/>
    <w:rsid w:val="5D3033C6"/>
    <w:rsid w:val="5D433826"/>
    <w:rsid w:val="5D6102F9"/>
    <w:rsid w:val="5D7B3BAC"/>
    <w:rsid w:val="5D832EEF"/>
    <w:rsid w:val="5D861E38"/>
    <w:rsid w:val="5D955C37"/>
    <w:rsid w:val="5DCE6D94"/>
    <w:rsid w:val="5DE47907"/>
    <w:rsid w:val="5DF16D2C"/>
    <w:rsid w:val="5E1A7F73"/>
    <w:rsid w:val="5E284DE0"/>
    <w:rsid w:val="5E2C72EB"/>
    <w:rsid w:val="5E390E1F"/>
    <w:rsid w:val="5E3D71FB"/>
    <w:rsid w:val="5E4635CA"/>
    <w:rsid w:val="5E47553D"/>
    <w:rsid w:val="5E4E7A34"/>
    <w:rsid w:val="5E51557F"/>
    <w:rsid w:val="5E584923"/>
    <w:rsid w:val="5E6621D5"/>
    <w:rsid w:val="5E6F0AF5"/>
    <w:rsid w:val="5E7468D1"/>
    <w:rsid w:val="5E8F6FF0"/>
    <w:rsid w:val="5E941DB9"/>
    <w:rsid w:val="5E9C4721"/>
    <w:rsid w:val="5EA12B1C"/>
    <w:rsid w:val="5EA35790"/>
    <w:rsid w:val="5EB25A23"/>
    <w:rsid w:val="5EBF1F9E"/>
    <w:rsid w:val="5ECA3277"/>
    <w:rsid w:val="5EDC5BD0"/>
    <w:rsid w:val="5EDF452C"/>
    <w:rsid w:val="5EEB60D3"/>
    <w:rsid w:val="5EFB2A62"/>
    <w:rsid w:val="5F0071B0"/>
    <w:rsid w:val="5F2516A8"/>
    <w:rsid w:val="5F3B1BE0"/>
    <w:rsid w:val="5F3C47F7"/>
    <w:rsid w:val="5F5408D6"/>
    <w:rsid w:val="5F5C1802"/>
    <w:rsid w:val="5F6246BA"/>
    <w:rsid w:val="5F7543A8"/>
    <w:rsid w:val="5F842392"/>
    <w:rsid w:val="5F8A2818"/>
    <w:rsid w:val="5F991715"/>
    <w:rsid w:val="5FA75A48"/>
    <w:rsid w:val="5FBF6023"/>
    <w:rsid w:val="5FBF6B7E"/>
    <w:rsid w:val="5FC265B3"/>
    <w:rsid w:val="5FE4315F"/>
    <w:rsid w:val="5FE46263"/>
    <w:rsid w:val="600227C8"/>
    <w:rsid w:val="600A3641"/>
    <w:rsid w:val="601864F8"/>
    <w:rsid w:val="602B2D4A"/>
    <w:rsid w:val="60624BDB"/>
    <w:rsid w:val="608A69F1"/>
    <w:rsid w:val="60E97765"/>
    <w:rsid w:val="60F07728"/>
    <w:rsid w:val="60F82C89"/>
    <w:rsid w:val="60FE2C3F"/>
    <w:rsid w:val="6133546F"/>
    <w:rsid w:val="613C4296"/>
    <w:rsid w:val="6142054C"/>
    <w:rsid w:val="615146FA"/>
    <w:rsid w:val="615D17EC"/>
    <w:rsid w:val="61702C99"/>
    <w:rsid w:val="6175458A"/>
    <w:rsid w:val="617B3D7A"/>
    <w:rsid w:val="61974B16"/>
    <w:rsid w:val="619C1C93"/>
    <w:rsid w:val="619F5A05"/>
    <w:rsid w:val="61DA0784"/>
    <w:rsid w:val="61E202A6"/>
    <w:rsid w:val="61E35D28"/>
    <w:rsid w:val="61E4277E"/>
    <w:rsid w:val="61E44094"/>
    <w:rsid w:val="61E63E0C"/>
    <w:rsid w:val="62070FA1"/>
    <w:rsid w:val="62093885"/>
    <w:rsid w:val="621217BE"/>
    <w:rsid w:val="621A6F8F"/>
    <w:rsid w:val="621E76E6"/>
    <w:rsid w:val="622A1FBF"/>
    <w:rsid w:val="623533CC"/>
    <w:rsid w:val="623B41C7"/>
    <w:rsid w:val="62526D3D"/>
    <w:rsid w:val="62542CB1"/>
    <w:rsid w:val="62542D9B"/>
    <w:rsid w:val="62624078"/>
    <w:rsid w:val="626C6B86"/>
    <w:rsid w:val="62706831"/>
    <w:rsid w:val="62833086"/>
    <w:rsid w:val="628C458A"/>
    <w:rsid w:val="62A115DE"/>
    <w:rsid w:val="62CD2B33"/>
    <w:rsid w:val="6312001E"/>
    <w:rsid w:val="632E5C46"/>
    <w:rsid w:val="63421168"/>
    <w:rsid w:val="63507E67"/>
    <w:rsid w:val="635145DF"/>
    <w:rsid w:val="635B5614"/>
    <w:rsid w:val="636859C5"/>
    <w:rsid w:val="636B0224"/>
    <w:rsid w:val="637B5628"/>
    <w:rsid w:val="63870B4C"/>
    <w:rsid w:val="63991B77"/>
    <w:rsid w:val="63BD39E6"/>
    <w:rsid w:val="63C86E42"/>
    <w:rsid w:val="63DB479D"/>
    <w:rsid w:val="63EF3EB1"/>
    <w:rsid w:val="63EF5B81"/>
    <w:rsid w:val="6403436A"/>
    <w:rsid w:val="6414480C"/>
    <w:rsid w:val="64472CE4"/>
    <w:rsid w:val="64620820"/>
    <w:rsid w:val="64681E85"/>
    <w:rsid w:val="64785961"/>
    <w:rsid w:val="647A0E64"/>
    <w:rsid w:val="64875F7C"/>
    <w:rsid w:val="64CD50E0"/>
    <w:rsid w:val="64D96C80"/>
    <w:rsid w:val="65274410"/>
    <w:rsid w:val="65561F76"/>
    <w:rsid w:val="6558633E"/>
    <w:rsid w:val="659473B3"/>
    <w:rsid w:val="65C276F5"/>
    <w:rsid w:val="65EB65E8"/>
    <w:rsid w:val="65EC7B94"/>
    <w:rsid w:val="66133874"/>
    <w:rsid w:val="6619624C"/>
    <w:rsid w:val="661A75B3"/>
    <w:rsid w:val="66342E08"/>
    <w:rsid w:val="663D6669"/>
    <w:rsid w:val="663E64E0"/>
    <w:rsid w:val="664107D0"/>
    <w:rsid w:val="66497A6B"/>
    <w:rsid w:val="664E58E8"/>
    <w:rsid w:val="66587CA1"/>
    <w:rsid w:val="666B0070"/>
    <w:rsid w:val="666C527B"/>
    <w:rsid w:val="667A7D7E"/>
    <w:rsid w:val="669A423A"/>
    <w:rsid w:val="66AA55FD"/>
    <w:rsid w:val="66B30FDB"/>
    <w:rsid w:val="67494173"/>
    <w:rsid w:val="678302BC"/>
    <w:rsid w:val="67A207DF"/>
    <w:rsid w:val="67A32D76"/>
    <w:rsid w:val="67AA3BE1"/>
    <w:rsid w:val="67BF6715"/>
    <w:rsid w:val="67DE553F"/>
    <w:rsid w:val="67E56BF0"/>
    <w:rsid w:val="67F30E07"/>
    <w:rsid w:val="67FD18C9"/>
    <w:rsid w:val="68176C23"/>
    <w:rsid w:val="681E5F23"/>
    <w:rsid w:val="6838262E"/>
    <w:rsid w:val="68593FE3"/>
    <w:rsid w:val="68700676"/>
    <w:rsid w:val="68852F89"/>
    <w:rsid w:val="68916D9B"/>
    <w:rsid w:val="68957C01"/>
    <w:rsid w:val="68A01520"/>
    <w:rsid w:val="68A32333"/>
    <w:rsid w:val="68B6337D"/>
    <w:rsid w:val="68C6622F"/>
    <w:rsid w:val="690220A9"/>
    <w:rsid w:val="690B0C63"/>
    <w:rsid w:val="690C66E5"/>
    <w:rsid w:val="691555DA"/>
    <w:rsid w:val="69450B4B"/>
    <w:rsid w:val="69502949"/>
    <w:rsid w:val="69517B32"/>
    <w:rsid w:val="695437AF"/>
    <w:rsid w:val="696514E4"/>
    <w:rsid w:val="69673443"/>
    <w:rsid w:val="696E2F06"/>
    <w:rsid w:val="69B85DD9"/>
    <w:rsid w:val="69C04ABB"/>
    <w:rsid w:val="69CA5400"/>
    <w:rsid w:val="69DF1BF1"/>
    <w:rsid w:val="69EB7AC5"/>
    <w:rsid w:val="6A276579"/>
    <w:rsid w:val="6A2E6CAD"/>
    <w:rsid w:val="6A6905CC"/>
    <w:rsid w:val="6A7C315A"/>
    <w:rsid w:val="6A904242"/>
    <w:rsid w:val="6AA0434D"/>
    <w:rsid w:val="6AAE0252"/>
    <w:rsid w:val="6ABF7757"/>
    <w:rsid w:val="6AC65BC7"/>
    <w:rsid w:val="6ACE4D37"/>
    <w:rsid w:val="6AD93CCF"/>
    <w:rsid w:val="6AD94EA8"/>
    <w:rsid w:val="6AD97382"/>
    <w:rsid w:val="6AEE467C"/>
    <w:rsid w:val="6B0376CF"/>
    <w:rsid w:val="6B0D141C"/>
    <w:rsid w:val="6B213BD1"/>
    <w:rsid w:val="6B382DA3"/>
    <w:rsid w:val="6B3D4D7C"/>
    <w:rsid w:val="6B426304"/>
    <w:rsid w:val="6B6023F5"/>
    <w:rsid w:val="6B677DE9"/>
    <w:rsid w:val="6B8B57FF"/>
    <w:rsid w:val="6B9C1A1D"/>
    <w:rsid w:val="6BCD756D"/>
    <w:rsid w:val="6C0B3676"/>
    <w:rsid w:val="6C1300A2"/>
    <w:rsid w:val="6C213165"/>
    <w:rsid w:val="6C2D651B"/>
    <w:rsid w:val="6C3D6662"/>
    <w:rsid w:val="6C4007A6"/>
    <w:rsid w:val="6C43610C"/>
    <w:rsid w:val="6C485EB9"/>
    <w:rsid w:val="6C567C4C"/>
    <w:rsid w:val="6C615BA3"/>
    <w:rsid w:val="6C6E3BCB"/>
    <w:rsid w:val="6C75797B"/>
    <w:rsid w:val="6CA640CB"/>
    <w:rsid w:val="6CDE057E"/>
    <w:rsid w:val="6CE8573C"/>
    <w:rsid w:val="6D5C20F1"/>
    <w:rsid w:val="6D8A2D46"/>
    <w:rsid w:val="6DC8062D"/>
    <w:rsid w:val="6DDB7FBC"/>
    <w:rsid w:val="6DEC3CE4"/>
    <w:rsid w:val="6DEE32ED"/>
    <w:rsid w:val="6E00025A"/>
    <w:rsid w:val="6E1B40DF"/>
    <w:rsid w:val="6E1B7EB7"/>
    <w:rsid w:val="6E2D6569"/>
    <w:rsid w:val="6E2E148A"/>
    <w:rsid w:val="6E3C4D68"/>
    <w:rsid w:val="6E40616E"/>
    <w:rsid w:val="6E437F76"/>
    <w:rsid w:val="6E4E25BE"/>
    <w:rsid w:val="6E557E91"/>
    <w:rsid w:val="6E7C4447"/>
    <w:rsid w:val="6E9B03C3"/>
    <w:rsid w:val="6EA93DA9"/>
    <w:rsid w:val="6EBF1ABE"/>
    <w:rsid w:val="6EE10409"/>
    <w:rsid w:val="6EF9441A"/>
    <w:rsid w:val="6F03408E"/>
    <w:rsid w:val="6F10126E"/>
    <w:rsid w:val="6F1F19DF"/>
    <w:rsid w:val="6F227649"/>
    <w:rsid w:val="6F461335"/>
    <w:rsid w:val="6F5C6426"/>
    <w:rsid w:val="6F714959"/>
    <w:rsid w:val="6F810180"/>
    <w:rsid w:val="6F9A78BF"/>
    <w:rsid w:val="6FA81A3C"/>
    <w:rsid w:val="6FAE03A4"/>
    <w:rsid w:val="6FC21988"/>
    <w:rsid w:val="6FC438EB"/>
    <w:rsid w:val="6FC83F0E"/>
    <w:rsid w:val="6FCC0769"/>
    <w:rsid w:val="6FD71E11"/>
    <w:rsid w:val="6FF705A5"/>
    <w:rsid w:val="700F24F4"/>
    <w:rsid w:val="70347B1B"/>
    <w:rsid w:val="706246EE"/>
    <w:rsid w:val="706C0A55"/>
    <w:rsid w:val="706E0DB9"/>
    <w:rsid w:val="70BD7386"/>
    <w:rsid w:val="70C7777F"/>
    <w:rsid w:val="70DC0F3A"/>
    <w:rsid w:val="70E07C1B"/>
    <w:rsid w:val="71032079"/>
    <w:rsid w:val="71533C6A"/>
    <w:rsid w:val="715C6E4A"/>
    <w:rsid w:val="715F7D1F"/>
    <w:rsid w:val="717173D0"/>
    <w:rsid w:val="71A71FB4"/>
    <w:rsid w:val="71AE138F"/>
    <w:rsid w:val="71BC1983"/>
    <w:rsid w:val="71C730BB"/>
    <w:rsid w:val="71C80B3D"/>
    <w:rsid w:val="71E656F7"/>
    <w:rsid w:val="71E857EE"/>
    <w:rsid w:val="71ED7A78"/>
    <w:rsid w:val="71FA3A83"/>
    <w:rsid w:val="720B3307"/>
    <w:rsid w:val="720E653A"/>
    <w:rsid w:val="72146FE5"/>
    <w:rsid w:val="721A7D64"/>
    <w:rsid w:val="72254108"/>
    <w:rsid w:val="72282507"/>
    <w:rsid w:val="722F10FA"/>
    <w:rsid w:val="72350DBD"/>
    <w:rsid w:val="72476A02"/>
    <w:rsid w:val="725E37C6"/>
    <w:rsid w:val="72620D8B"/>
    <w:rsid w:val="7274774E"/>
    <w:rsid w:val="72873C5C"/>
    <w:rsid w:val="729C3F60"/>
    <w:rsid w:val="72AA2887"/>
    <w:rsid w:val="72D04DCA"/>
    <w:rsid w:val="72DD7B69"/>
    <w:rsid w:val="72E11FC3"/>
    <w:rsid w:val="730D391B"/>
    <w:rsid w:val="732267F0"/>
    <w:rsid w:val="73525B60"/>
    <w:rsid w:val="7353220F"/>
    <w:rsid w:val="736743F4"/>
    <w:rsid w:val="7396760B"/>
    <w:rsid w:val="73A919D8"/>
    <w:rsid w:val="73B22F3C"/>
    <w:rsid w:val="73B870F9"/>
    <w:rsid w:val="73BC0182"/>
    <w:rsid w:val="73DC2F75"/>
    <w:rsid w:val="740D54F4"/>
    <w:rsid w:val="74274FCC"/>
    <w:rsid w:val="74507626"/>
    <w:rsid w:val="745A55F3"/>
    <w:rsid w:val="74687C4F"/>
    <w:rsid w:val="74966354"/>
    <w:rsid w:val="749A2D1F"/>
    <w:rsid w:val="74B62F38"/>
    <w:rsid w:val="74EB2FB8"/>
    <w:rsid w:val="74F54C1A"/>
    <w:rsid w:val="750263A5"/>
    <w:rsid w:val="751A6992"/>
    <w:rsid w:val="752F546D"/>
    <w:rsid w:val="75362409"/>
    <w:rsid w:val="756015F8"/>
    <w:rsid w:val="757D05BE"/>
    <w:rsid w:val="758075D4"/>
    <w:rsid w:val="75910344"/>
    <w:rsid w:val="759D747D"/>
    <w:rsid w:val="75A67A21"/>
    <w:rsid w:val="75B74AA0"/>
    <w:rsid w:val="75B90231"/>
    <w:rsid w:val="75E0049C"/>
    <w:rsid w:val="75E848BC"/>
    <w:rsid w:val="76016C28"/>
    <w:rsid w:val="761F029E"/>
    <w:rsid w:val="762D47F8"/>
    <w:rsid w:val="762F4253"/>
    <w:rsid w:val="76355280"/>
    <w:rsid w:val="765353AD"/>
    <w:rsid w:val="7655794F"/>
    <w:rsid w:val="7689645A"/>
    <w:rsid w:val="76A91FD3"/>
    <w:rsid w:val="76C57D8A"/>
    <w:rsid w:val="76C62D39"/>
    <w:rsid w:val="76E15DFB"/>
    <w:rsid w:val="76EE4D3D"/>
    <w:rsid w:val="770706D4"/>
    <w:rsid w:val="77091833"/>
    <w:rsid w:val="7753681B"/>
    <w:rsid w:val="775F23E8"/>
    <w:rsid w:val="775F5B45"/>
    <w:rsid w:val="77667C2A"/>
    <w:rsid w:val="7768486C"/>
    <w:rsid w:val="777D0E86"/>
    <w:rsid w:val="7782054C"/>
    <w:rsid w:val="77820D78"/>
    <w:rsid w:val="779C4B53"/>
    <w:rsid w:val="77A108D3"/>
    <w:rsid w:val="77B15C8C"/>
    <w:rsid w:val="77B91A0C"/>
    <w:rsid w:val="77E500C2"/>
    <w:rsid w:val="78086736"/>
    <w:rsid w:val="782A7252"/>
    <w:rsid w:val="782B0837"/>
    <w:rsid w:val="783C54C3"/>
    <w:rsid w:val="78431FAF"/>
    <w:rsid w:val="78724A45"/>
    <w:rsid w:val="787E4A3E"/>
    <w:rsid w:val="78823025"/>
    <w:rsid w:val="789620E4"/>
    <w:rsid w:val="78AF300E"/>
    <w:rsid w:val="78C80335"/>
    <w:rsid w:val="79153558"/>
    <w:rsid w:val="79421110"/>
    <w:rsid w:val="7949798A"/>
    <w:rsid w:val="7950676C"/>
    <w:rsid w:val="797F6542"/>
    <w:rsid w:val="79847979"/>
    <w:rsid w:val="799228EE"/>
    <w:rsid w:val="79CD2757"/>
    <w:rsid w:val="79D07C69"/>
    <w:rsid w:val="7A1B7CE2"/>
    <w:rsid w:val="7A3A149F"/>
    <w:rsid w:val="7A446928"/>
    <w:rsid w:val="7A481C15"/>
    <w:rsid w:val="7A6E4950"/>
    <w:rsid w:val="7A817929"/>
    <w:rsid w:val="7A860FCA"/>
    <w:rsid w:val="7A96762C"/>
    <w:rsid w:val="7A9863B2"/>
    <w:rsid w:val="7A9C1535"/>
    <w:rsid w:val="7AC62379"/>
    <w:rsid w:val="7B0A53EC"/>
    <w:rsid w:val="7B12208E"/>
    <w:rsid w:val="7B1A261A"/>
    <w:rsid w:val="7B2456A1"/>
    <w:rsid w:val="7B2C1F5B"/>
    <w:rsid w:val="7B550B7A"/>
    <w:rsid w:val="7B5A7743"/>
    <w:rsid w:val="7B9C24F7"/>
    <w:rsid w:val="7BAF7578"/>
    <w:rsid w:val="7BCC1A1B"/>
    <w:rsid w:val="7BEF7672"/>
    <w:rsid w:val="7BF66B1F"/>
    <w:rsid w:val="7C27553B"/>
    <w:rsid w:val="7C391D27"/>
    <w:rsid w:val="7C446581"/>
    <w:rsid w:val="7CD47EDB"/>
    <w:rsid w:val="7CEC4DD7"/>
    <w:rsid w:val="7CFD581C"/>
    <w:rsid w:val="7D0C4C7B"/>
    <w:rsid w:val="7D261A42"/>
    <w:rsid w:val="7D312820"/>
    <w:rsid w:val="7D5274AB"/>
    <w:rsid w:val="7D7341DE"/>
    <w:rsid w:val="7D861F78"/>
    <w:rsid w:val="7D9A7C4B"/>
    <w:rsid w:val="7D9C542E"/>
    <w:rsid w:val="7DA17EF3"/>
    <w:rsid w:val="7DA85D23"/>
    <w:rsid w:val="7DCA0A20"/>
    <w:rsid w:val="7DD06E79"/>
    <w:rsid w:val="7DDF5D95"/>
    <w:rsid w:val="7DE14B95"/>
    <w:rsid w:val="7DE61A73"/>
    <w:rsid w:val="7E374C05"/>
    <w:rsid w:val="7E397AD8"/>
    <w:rsid w:val="7E597C40"/>
    <w:rsid w:val="7E7D4A13"/>
    <w:rsid w:val="7EAA2389"/>
    <w:rsid w:val="7EB40B89"/>
    <w:rsid w:val="7EE16A66"/>
    <w:rsid w:val="7EE822DB"/>
    <w:rsid w:val="7EF40E65"/>
    <w:rsid w:val="7EF9615B"/>
    <w:rsid w:val="7F577381"/>
    <w:rsid w:val="7F6F781F"/>
    <w:rsid w:val="7F9A2311"/>
    <w:rsid w:val="7FA26D74"/>
    <w:rsid w:val="7FCC438E"/>
    <w:rsid w:val="7FCE147D"/>
    <w:rsid w:val="7FEB723C"/>
    <w:rsid w:val="7FEF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1"/>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4">
    <w:name w:val="heading 2"/>
    <w:basedOn w:val="1"/>
    <w:next w:val="1"/>
    <w:link w:val="22"/>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3"/>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1"/>
    <w:pPr>
      <w:autoSpaceDE w:val="0"/>
      <w:autoSpaceDN w:val="0"/>
      <w:adjustRightInd w:val="0"/>
      <w:spacing w:before="162"/>
      <w:ind w:left="120"/>
      <w:jc w:val="left"/>
    </w:pPr>
    <w:rPr>
      <w:rFonts w:ascii="宋体"/>
      <w:kern w:val="0"/>
      <w:sz w:val="20"/>
      <w:szCs w:val="21"/>
    </w:rPr>
  </w:style>
  <w:style w:type="paragraph" w:styleId="6">
    <w:name w:val="annotation text"/>
    <w:basedOn w:val="1"/>
    <w:link w:val="24"/>
    <w:unhideWhenUsed/>
    <w:qFormat/>
    <w:uiPriority w:val="99"/>
    <w:pPr>
      <w:jc w:val="left"/>
    </w:pPr>
  </w:style>
  <w:style w:type="paragraph" w:styleId="7">
    <w:name w:val="Date"/>
    <w:basedOn w:val="1"/>
    <w:next w:val="1"/>
    <w:link w:val="26"/>
    <w:unhideWhenUsed/>
    <w:qFormat/>
    <w:uiPriority w:val="99"/>
    <w:pPr>
      <w:ind w:left="100" w:leftChars="2500"/>
    </w:pPr>
  </w:style>
  <w:style w:type="paragraph" w:styleId="8">
    <w:name w:val="Balloon Text"/>
    <w:basedOn w:val="1"/>
    <w:link w:val="27"/>
    <w:unhideWhenUsed/>
    <w:qFormat/>
    <w:uiPriority w:val="99"/>
    <w:rPr>
      <w:kern w:val="0"/>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0"/>
    <w:unhideWhenUsed/>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31"/>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标题 1 字符"/>
    <w:link w:val="3"/>
    <w:qFormat/>
    <w:uiPriority w:val="1"/>
    <w:rPr>
      <w:rFonts w:ascii="黑体" w:hAnsi="Times New Roman" w:eastAsia="黑体" w:cs="黑体"/>
      <w:b/>
      <w:bCs/>
      <w:kern w:val="0"/>
      <w:sz w:val="36"/>
      <w:szCs w:val="36"/>
    </w:rPr>
  </w:style>
  <w:style w:type="character" w:customStyle="1" w:styleId="22">
    <w:name w:val="标题 2 字符"/>
    <w:link w:val="4"/>
    <w:qFormat/>
    <w:uiPriority w:val="9"/>
    <w:rPr>
      <w:rFonts w:ascii="Cambria" w:hAnsi="Cambria" w:eastAsia="宋体" w:cs="Times New Roman"/>
      <w:b/>
      <w:bCs/>
      <w:sz w:val="32"/>
      <w:szCs w:val="32"/>
    </w:rPr>
  </w:style>
  <w:style w:type="character" w:customStyle="1" w:styleId="23">
    <w:name w:val="标题 3 字符"/>
    <w:link w:val="5"/>
    <w:qFormat/>
    <w:uiPriority w:val="1"/>
    <w:rPr>
      <w:rFonts w:ascii="宋体" w:hAnsi="Times New Roman" w:eastAsia="宋体" w:cs="宋体"/>
      <w:b/>
      <w:bCs/>
      <w:kern w:val="0"/>
      <w:szCs w:val="21"/>
    </w:rPr>
  </w:style>
  <w:style w:type="character" w:customStyle="1" w:styleId="24">
    <w:name w:val="批注文字 字符"/>
    <w:link w:val="6"/>
    <w:qFormat/>
    <w:uiPriority w:val="99"/>
    <w:rPr>
      <w:kern w:val="2"/>
      <w:sz w:val="21"/>
      <w:szCs w:val="22"/>
    </w:rPr>
  </w:style>
  <w:style w:type="character" w:customStyle="1" w:styleId="25">
    <w:name w:val="正文文本 字符"/>
    <w:link w:val="2"/>
    <w:qFormat/>
    <w:uiPriority w:val="1"/>
    <w:rPr>
      <w:rFonts w:ascii="宋体" w:hAnsi="Times New Roman" w:eastAsia="宋体" w:cs="宋体"/>
      <w:kern w:val="0"/>
      <w:szCs w:val="21"/>
    </w:rPr>
  </w:style>
  <w:style w:type="character" w:customStyle="1" w:styleId="26">
    <w:name w:val="日期 字符"/>
    <w:link w:val="7"/>
    <w:semiHidden/>
    <w:qFormat/>
    <w:uiPriority w:val="99"/>
  </w:style>
  <w:style w:type="character" w:customStyle="1" w:styleId="27">
    <w:name w:val="批注框文本 字符"/>
    <w:link w:val="8"/>
    <w:semiHidden/>
    <w:qFormat/>
    <w:uiPriority w:val="99"/>
    <w:rPr>
      <w:sz w:val="18"/>
      <w:szCs w:val="18"/>
    </w:rPr>
  </w:style>
  <w:style w:type="character" w:customStyle="1" w:styleId="28">
    <w:name w:val="页脚 字符"/>
    <w:link w:val="9"/>
    <w:qFormat/>
    <w:uiPriority w:val="99"/>
    <w:rPr>
      <w:sz w:val="18"/>
      <w:szCs w:val="18"/>
    </w:rPr>
  </w:style>
  <w:style w:type="character" w:customStyle="1" w:styleId="29">
    <w:name w:val="页眉 字符"/>
    <w:link w:val="10"/>
    <w:qFormat/>
    <w:uiPriority w:val="99"/>
    <w:rPr>
      <w:sz w:val="18"/>
      <w:szCs w:val="18"/>
    </w:rPr>
  </w:style>
  <w:style w:type="character" w:customStyle="1" w:styleId="30">
    <w:name w:val="脚注文本 字符"/>
    <w:link w:val="11"/>
    <w:semiHidden/>
    <w:qFormat/>
    <w:uiPriority w:val="99"/>
    <w:rPr>
      <w:kern w:val="2"/>
      <w:sz w:val="18"/>
      <w:szCs w:val="18"/>
    </w:rPr>
  </w:style>
  <w:style w:type="character" w:customStyle="1" w:styleId="31">
    <w:name w:val="批注主题 字符"/>
    <w:link w:val="13"/>
    <w:semiHidden/>
    <w:qFormat/>
    <w:uiPriority w:val="99"/>
    <w:rPr>
      <w:b/>
      <w:bCs/>
      <w:kern w:val="2"/>
      <w:sz w:val="21"/>
      <w:szCs w:val="22"/>
    </w:rPr>
  </w:style>
  <w:style w:type="character" w:customStyle="1" w:styleId="32">
    <w:name w:val="未处理的提及1"/>
    <w:unhideWhenUsed/>
    <w:qFormat/>
    <w:uiPriority w:val="99"/>
    <w:rPr>
      <w:color w:val="605E5C"/>
      <w:shd w:val="clear" w:color="auto" w:fill="E1DFDD"/>
    </w:rPr>
  </w:style>
  <w:style w:type="paragraph" w:customStyle="1" w:styleId="33">
    <w:name w:val="Char Char Char Char Char Char Char Char Char Char Char Char"/>
    <w:basedOn w:val="1"/>
    <w:qFormat/>
    <w:uiPriority w:val="0"/>
    <w:pPr>
      <w:widowControl/>
      <w:spacing w:after="160" w:line="240" w:lineRule="exact"/>
      <w:jc w:val="left"/>
    </w:pPr>
    <w:rPr>
      <w:rFonts w:ascii="Tahoma" w:hAnsi="Tahoma" w:cs="Tahoma"/>
      <w:szCs w:val="21"/>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36">
    <w:name w:val="Table Paragraph"/>
    <w:basedOn w:val="1"/>
    <w:qFormat/>
    <w:uiPriority w:val="1"/>
    <w:pPr>
      <w:autoSpaceDE w:val="0"/>
      <w:autoSpaceDN w:val="0"/>
      <w:adjustRightInd w:val="0"/>
      <w:jc w:val="left"/>
    </w:pPr>
    <w:rPr>
      <w:kern w:val="0"/>
      <w:sz w:val="24"/>
      <w:szCs w:val="24"/>
    </w:rPr>
  </w:style>
  <w:style w:type="paragraph" w:styleId="37">
    <w:name w:val="List Paragraph"/>
    <w:basedOn w:val="1"/>
    <w:qFormat/>
    <w:uiPriority w:val="72"/>
    <w:pPr>
      <w:ind w:firstLine="420" w:firstLineChars="200"/>
    </w:pPr>
  </w:style>
  <w:style w:type="character" w:customStyle="1" w:styleId="38">
    <w:name w:val="脚注文本 Char"/>
    <w:semiHidden/>
    <w:qFormat/>
    <w:uiPriority w:val="99"/>
    <w:rPr>
      <w:kern w:val="2"/>
      <w:sz w:val="18"/>
      <w:szCs w:val="18"/>
    </w:rPr>
  </w:style>
  <w:style w:type="character" w:customStyle="1" w:styleId="39">
    <w:name w:val="markedcontent"/>
    <w:qFormat/>
    <w:uiPriority w:val="0"/>
  </w:style>
  <w:style w:type="character" w:customStyle="1" w:styleId="40">
    <w:name w:val="fontstyle01"/>
    <w:qFormat/>
    <w:uiPriority w:val="0"/>
    <w:rPr>
      <w:rFonts w:hint="eastAsia" w:ascii="宋体" w:hAnsi="宋体" w:eastAsia="宋体"/>
      <w:color w:val="000000"/>
      <w:sz w:val="22"/>
      <w:szCs w:val="22"/>
    </w:rPr>
  </w:style>
  <w:style w:type="character" w:styleId="41">
    <w:name w:val="Placeholder Text"/>
    <w:basedOn w:val="16"/>
    <w:unhideWhenUsed/>
    <w:qFormat/>
    <w:uiPriority w:val="99"/>
    <w:rPr>
      <w:color w:val="808080"/>
    </w:rPr>
  </w:style>
  <w:style w:type="paragraph" w:customStyle="1" w:styleId="42">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43">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45">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7"/>
    <customShpInfo spid="_x0000_s3078"/>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0D1EF-01AF-4534-9965-67245C61A3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2719</Words>
  <Characters>15499</Characters>
  <Lines>129</Lines>
  <Paragraphs>36</Paragraphs>
  <TotalTime>3</TotalTime>
  <ScaleCrop>false</ScaleCrop>
  <LinksUpToDate>false</LinksUpToDate>
  <CharactersWithSpaces>18182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2025-08-19T06:43:00Z</dcterms:created>
  <dc:creator>JSYH</dc:creator>
  <cp:lastModifiedBy>jsyh</cp:lastModifiedBy>
  <cp:lastPrinted>2022-03-04T08:58:00Z</cp:lastPrinted>
  <dcterms:modified xsi:type="dcterms:W3CDTF">2026-04-08T07:07:44Z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A8A45C46163A48F28B7D897936510890</vt:lpwstr>
  </property>
  <property fmtid="{D5CDD505-2E9C-101B-9397-08002B2CF9AE}" pid="4" name="5B77E7CEEC58BC6AFAE8886BEB80DBEB">
    <vt:lpwstr>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</vt:lpwstr>
  </property>
</Properties>
</file>