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_GB2312" w:hAnsi="Calibri" w:eastAsia="仿宋_GB2312" w:cs="Calibri"/>
          <w:b/>
          <w:bCs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附件</w:t>
      </w:r>
      <w:r>
        <w:rPr>
          <w:rFonts w:ascii="仿宋_GB2312" w:hAnsi="Calibri" w:eastAsia="仿宋_GB2312" w:cs="Calibri"/>
          <w:b/>
          <w:bCs/>
          <w:kern w:val="0"/>
          <w:sz w:val="32"/>
          <w:szCs w:val="32"/>
        </w:rPr>
        <w:t>2</w:t>
      </w:r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：</w:t>
      </w:r>
      <w:bookmarkStart w:id="0" w:name="OLE_LINK8"/>
    </w:p>
    <w:bookmarkEnd w:id="0"/>
    <w:p>
      <w:pPr>
        <w:snapToGrid w:val="0"/>
        <w:spacing w:line="600" w:lineRule="atLeast"/>
        <w:jc w:val="center"/>
        <w:rPr>
          <w:rFonts w:ascii="仿宋_GB2312" w:hAnsi="Calibri" w:eastAsia="仿宋_GB2312" w:cs="Calibri"/>
          <w:b/>
          <w:bCs/>
          <w:kern w:val="0"/>
          <w:sz w:val="32"/>
          <w:szCs w:val="32"/>
        </w:rPr>
      </w:pPr>
      <w:bookmarkStart w:id="1" w:name="OLE_LINK6"/>
      <w:bookmarkStart w:id="2" w:name="OLE_LINK13"/>
      <w:bookmarkStart w:id="3" w:name="OLE_LINK12"/>
      <w:bookmarkStart w:id="4" w:name="OLE_LINK20"/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沛县农商银行保险产品风险等级与客户适配管理办法</w:t>
      </w:r>
    </w:p>
    <w:bookmarkEnd w:id="1"/>
    <w:p>
      <w:pPr>
        <w:snapToGrid w:val="0"/>
        <w:spacing w:line="600" w:lineRule="atLeast"/>
        <w:ind w:firstLine="643" w:firstLineChars="200"/>
        <w:jc w:val="left"/>
        <w:rPr>
          <w:rFonts w:ascii="仿宋_GB2312" w:hAnsi="Calibri" w:eastAsia="仿宋_GB2312" w:cs="Calibri"/>
          <w:kern w:val="0"/>
          <w:sz w:val="32"/>
          <w:szCs w:val="32"/>
        </w:rPr>
      </w:pPr>
      <w:bookmarkStart w:id="5" w:name="OLE_LINK24"/>
      <w:bookmarkStart w:id="6" w:name="OLE_LINK11"/>
      <w:bookmarkStart w:id="7" w:name="OLE_LINK25"/>
      <w:bookmarkStart w:id="8" w:name="OLE_LINK26"/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第一条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 </w:t>
      </w:r>
      <w:r>
        <w:rPr>
          <w:rFonts w:ascii="仿宋_GB2312" w:hAnsi="Calibri" w:eastAsia="仿宋_GB2312" w:cs="Calibri"/>
          <w:kern w:val="0"/>
          <w:sz w:val="32"/>
          <w:szCs w:val="32"/>
        </w:rPr>
        <w:t>为贯彻落实保险销售适当性管理的监管要求，进一步提升本行保险产品销售的合规性、规范性及客户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适配度</w:t>
      </w:r>
      <w:r>
        <w:rPr>
          <w:rFonts w:ascii="仿宋_GB2312" w:hAnsi="Calibri" w:eastAsia="仿宋_GB2312" w:cs="Calibri"/>
          <w:kern w:val="0"/>
          <w:sz w:val="32"/>
          <w:szCs w:val="32"/>
        </w:rPr>
        <w:t>，特参照理财产品风险等级管理标准，制定本办法。</w:t>
      </w:r>
    </w:p>
    <w:p>
      <w:pPr>
        <w:snapToGrid w:val="0"/>
        <w:spacing w:line="600" w:lineRule="atLeast"/>
        <w:ind w:firstLine="640" w:firstLineChars="200"/>
        <w:jc w:val="left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本办法对本行代理销售的保险产品实施风险等级划分，明确客户风险承受能力与产品风险等级之间的适配规则，作为《沛县农村商业银行股份有限公司保险代理业务规范管理规定》的配套制度执行。</w:t>
      </w:r>
    </w:p>
    <w:p>
      <w:pPr>
        <w:snapToGrid w:val="0"/>
        <w:spacing w:line="600" w:lineRule="atLeast"/>
        <w:ind w:firstLine="643" w:firstLineChars="200"/>
        <w:jc w:val="left"/>
        <w:rPr>
          <w:rFonts w:ascii="仿宋_GB2312" w:hAnsi="Calibri" w:eastAsia="仿宋_GB2312" w:cs="Calibri"/>
          <w:kern w:val="0"/>
          <w:sz w:val="32"/>
          <w:szCs w:val="32"/>
        </w:rPr>
      </w:pPr>
      <w:bookmarkStart w:id="9" w:name="OLE_LINK14"/>
      <w:r>
        <w:rPr>
          <w:rFonts w:ascii="仿宋_GB2312" w:hAnsi="Calibri" w:eastAsia="仿宋_GB2312" w:cs="Calibri"/>
          <w:b/>
          <w:bCs/>
          <w:kern w:val="0"/>
          <w:sz w:val="32"/>
          <w:szCs w:val="32"/>
        </w:rPr>
        <w:t>第</w:t>
      </w:r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二</w:t>
      </w:r>
      <w:r>
        <w:rPr>
          <w:rFonts w:ascii="仿宋_GB2312" w:hAnsi="Calibri" w:eastAsia="仿宋_GB2312" w:cs="Calibri"/>
          <w:b/>
          <w:bCs/>
          <w:kern w:val="0"/>
          <w:sz w:val="32"/>
          <w:szCs w:val="32"/>
        </w:rPr>
        <w:t>条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 </w:t>
      </w:r>
      <w:r>
        <w:rPr>
          <w:rFonts w:ascii="仿宋_GB2312" w:hAnsi="Calibri" w:eastAsia="仿宋_GB2312" w:cs="Calibri"/>
          <w:kern w:val="0"/>
          <w:sz w:val="32"/>
          <w:szCs w:val="32"/>
        </w:rPr>
        <w:t>本办法适用于本行代理销售的所有个人类保险产品，包括但不限于两全保险、终身寿险、年金保险、意外伤害保险、健康保险等。</w:t>
      </w:r>
    </w:p>
    <w:bookmarkEnd w:id="5"/>
    <w:bookmarkEnd w:id="6"/>
    <w:bookmarkEnd w:id="7"/>
    <w:bookmarkEnd w:id="8"/>
    <w:bookmarkEnd w:id="9"/>
    <w:p>
      <w:pPr>
        <w:spacing w:line="360" w:lineRule="auto"/>
        <w:ind w:firstLine="643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bookmarkStart w:id="10" w:name="OLE_LINK15"/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第三条</w:t>
      </w:r>
      <w:r>
        <w:rPr>
          <w:rFonts w:ascii="仿宋_GB2312" w:hAnsi="Calibri" w:eastAsia="仿宋_GB2312" w:cs="Calibri"/>
          <w:kern w:val="0"/>
          <w:sz w:val="32"/>
          <w:szCs w:val="32"/>
        </w:rPr>
        <w:t xml:space="preserve"> 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保险</w:t>
      </w:r>
      <w:r>
        <w:rPr>
          <w:rFonts w:ascii="仿宋_GB2312" w:hAnsi="Calibri" w:eastAsia="仿宋_GB2312" w:cs="Calibri"/>
          <w:kern w:val="0"/>
          <w:sz w:val="32"/>
          <w:szCs w:val="32"/>
        </w:rPr>
        <w:t>产品风险等级划分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kern w:val="0"/>
          <w:sz w:val="32"/>
          <w:szCs w:val="32"/>
        </w:rPr>
        <w:t>本行以客户本金安全性为核心评估标准，参照理财产品分级模型，将保险产品按风险程度从低到高设定为五个等级：R1（低风险）、R2（较低风险）、R3（中低风险）、R4（中风险）、R5（中高风险）。</w:t>
      </w:r>
    </w:p>
    <w:p>
      <w:pPr>
        <w:spacing w:line="360" w:lineRule="auto"/>
        <w:ind w:firstLine="643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bookmarkStart w:id="11" w:name="OLE_LINK27"/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第四条</w:t>
      </w:r>
      <w:r>
        <w:rPr>
          <w:rFonts w:ascii="仿宋_GB2312" w:hAnsi="Calibri" w:eastAsia="仿宋_GB2312" w:cs="Calibri"/>
          <w:kern w:val="0"/>
          <w:sz w:val="32"/>
          <w:szCs w:val="32"/>
        </w:rPr>
        <w:t xml:space="preserve"> 客户风险承受能力等级划分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kern w:val="0"/>
          <w:sz w:val="32"/>
          <w:szCs w:val="32"/>
        </w:rPr>
        <w:t>客户</w:t>
      </w:r>
      <w:r>
        <w:rPr>
          <w:rFonts w:ascii="仿宋_GB2312" w:hAnsi="Calibri" w:eastAsia="仿宋_GB2312" w:cs="Calibri"/>
          <w:kern w:val="0"/>
          <w:sz w:val="32"/>
          <w:szCs w:val="32"/>
        </w:rPr>
        <w:t>通过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本行手机银行APP进行</w:t>
      </w:r>
      <w:r>
        <w:rPr>
          <w:rFonts w:ascii="仿宋_GB2312" w:hAnsi="Calibri" w:eastAsia="仿宋_GB2312" w:cs="Calibri"/>
          <w:kern w:val="0"/>
          <w:sz w:val="32"/>
          <w:szCs w:val="32"/>
        </w:rPr>
        <w:t>风险承受能力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问卷</w:t>
      </w:r>
      <w:r>
        <w:rPr>
          <w:rFonts w:ascii="仿宋_GB2312" w:hAnsi="Calibri" w:eastAsia="仿宋_GB2312" w:cs="Calibri"/>
          <w:kern w:val="0"/>
          <w:sz w:val="32"/>
          <w:szCs w:val="32"/>
        </w:rPr>
        <w:t>测评，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评估结果经客户确认后作为适配销售的重要依据。 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客户的风险承受能力（以下简称“客户风险等级”）</w:t>
      </w:r>
      <w:bookmarkEnd w:id="11"/>
      <w:r>
        <w:rPr>
          <w:rFonts w:hint="eastAsia" w:ascii="仿宋_GB2312" w:hAnsi="Calibri" w:eastAsia="仿宋_GB2312" w:cs="Calibri"/>
          <w:kern w:val="0"/>
          <w:sz w:val="32"/>
          <w:szCs w:val="32"/>
        </w:rPr>
        <w:t>从低到高分为五个等级：C1（保守型）、C2（谨慎型）、C3（稳健型）、C4（平衡型）、C5（进取型）。</w:t>
      </w:r>
    </w:p>
    <w:bookmarkEnd w:id="2"/>
    <w:bookmarkEnd w:id="10"/>
    <w:p>
      <w:pPr>
        <w:spacing w:line="360" w:lineRule="auto"/>
        <w:ind w:firstLine="643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bookmarkStart w:id="12" w:name="OLE_LINK16"/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第五条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 </w:t>
      </w:r>
      <w:r>
        <w:rPr>
          <w:rFonts w:ascii="仿宋_GB2312" w:hAnsi="Calibri" w:eastAsia="仿宋_GB2312" w:cs="Calibri"/>
          <w:kern w:val="0"/>
          <w:sz w:val="32"/>
          <w:szCs w:val="32"/>
        </w:rPr>
        <w:t>产品与客户风险等级适配规则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kern w:val="0"/>
          <w:sz w:val="32"/>
          <w:szCs w:val="32"/>
        </w:rPr>
        <w:t>本行保险产品销售应遵循“产品风险等级 ≤ 客户风险等级”的基本原则</w:t>
      </w:r>
      <w:bookmarkEnd w:id="3"/>
      <w:r>
        <w:rPr>
          <w:rFonts w:hint="eastAsia" w:ascii="仿宋_GB2312" w:hAnsi="Calibri" w:eastAsia="仿宋_GB2312" w:cs="Calibri"/>
          <w:kern w:val="0"/>
          <w:sz w:val="32"/>
          <w:szCs w:val="32"/>
        </w:rPr>
        <w:t>，</w:t>
      </w:r>
      <w:r>
        <w:rPr>
          <w:rFonts w:ascii="仿宋_GB2312" w:hAnsi="Calibri" w:eastAsia="仿宋_GB2312" w:cs="Calibri"/>
          <w:kern w:val="0"/>
          <w:sz w:val="32"/>
          <w:szCs w:val="32"/>
        </w:rPr>
        <w:t>确保客户具备相应的风险承受能力后方可购买相应风险等级的产品。</w:t>
      </w:r>
    </w:p>
    <w:p>
      <w:pPr>
        <w:spacing w:line="360" w:lineRule="auto"/>
        <w:ind w:firstLine="643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第六条</w:t>
      </w:r>
      <w:r>
        <w:rPr>
          <w:rFonts w:ascii="仿宋_GB2312" w:hAnsi="Calibri" w:eastAsia="仿宋_GB2312" w:cs="Calibri"/>
          <w:kern w:val="0"/>
          <w:sz w:val="32"/>
          <w:szCs w:val="32"/>
        </w:rPr>
        <w:t xml:space="preserve"> 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产品风险等级及客户风险等级匹配表</w:t>
      </w:r>
    </w:p>
    <w:bookmarkEnd w:id="12"/>
    <w:tbl>
      <w:tblPr>
        <w:tblStyle w:val="1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6"/>
        <w:gridCol w:w="1795"/>
        <w:gridCol w:w="2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产品风险等级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产品特点描述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投资方向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匹配客户风险等级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R1（低风险）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保证本金的偿付，产品收益受市场波动和政策法规变化等风险因素的影响较小。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银行存款、债券、政策性金融工具、保险公司一般账户等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R2（较低风险）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本金不保证，但本金安全预期较高，收益浮动较小，风险可控。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银行存款、债券、非结构类产品、稳健型账户等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R3（中低风险）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本金不保证，收益浮动，存在一定波动。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债券、部分非保本型产品、浮动收益类工具等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C2-C3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R4（中风险）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本金风险较大，收益波动性强，受市场影响较显著。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结构性产品、市场化非保本产品等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R5（中高风险）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本金和收益波动极大，受市场、政策等多因素影响显著。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股票挂钩、投连类产品、市场化浮动收益类工具等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Calibri" w:eastAsia="仿宋_GB2312" w:cs="Calibri"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28"/>
                <w:szCs w:val="28"/>
              </w:rPr>
              <w:t>C5</w:t>
            </w:r>
          </w:p>
        </w:tc>
      </w:tr>
    </w:tbl>
    <w:p>
      <w:pPr>
        <w:spacing w:line="360" w:lineRule="auto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   </w:t>
      </w:r>
      <w:bookmarkStart w:id="13" w:name="OLE_LINK19"/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 </w:t>
      </w:r>
      <w:bookmarkStart w:id="14" w:name="OLE_LINK17"/>
      <w:r>
        <w:rPr>
          <w:rFonts w:ascii="仿宋_GB2312" w:hAnsi="Calibri" w:eastAsia="仿宋_GB2312" w:cs="Calibri"/>
          <w:b/>
          <w:bCs/>
          <w:kern w:val="0"/>
          <w:sz w:val="32"/>
          <w:szCs w:val="32"/>
        </w:rPr>
        <w:t>第</w:t>
      </w:r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七</w:t>
      </w:r>
      <w:r>
        <w:rPr>
          <w:rFonts w:ascii="仿宋_GB2312" w:hAnsi="Calibri" w:eastAsia="仿宋_GB2312" w:cs="Calibri"/>
          <w:b/>
          <w:bCs/>
          <w:kern w:val="0"/>
          <w:sz w:val="32"/>
          <w:szCs w:val="32"/>
        </w:rPr>
        <w:t>条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 保险产品风险等级动态调整机制</w:t>
      </w:r>
    </w:p>
    <w:bookmarkEnd w:id="13"/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零售金融部应针对保险产品风险等级实施动态调整。当保险产品条款结构发生调整、监管政策更新、客户集中反馈或市场环境显著变化时，</w:t>
      </w:r>
      <w:bookmarkStart w:id="15" w:name="OLE_LINK18"/>
      <w:r>
        <w:rPr>
          <w:rFonts w:ascii="仿宋_GB2312" w:hAnsi="Calibri" w:eastAsia="仿宋_GB2312" w:cs="Calibri"/>
          <w:kern w:val="0"/>
          <w:sz w:val="32"/>
          <w:szCs w:val="32"/>
        </w:rPr>
        <w:t>可视情形进行产品风险等级复评</w:t>
      </w:r>
      <w:bookmarkEnd w:id="15"/>
      <w:r>
        <w:rPr>
          <w:rFonts w:ascii="仿宋_GB2312" w:hAnsi="Calibri" w:eastAsia="仿宋_GB2312" w:cs="Calibri"/>
          <w:kern w:val="0"/>
          <w:sz w:val="32"/>
          <w:szCs w:val="32"/>
        </w:rPr>
        <w:t>。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零售金融部可根据监管导向、行业实践或内部管理需要，适时对产品风险等级划分标准进行优化调整，并同步调整客户风险匹配适配，强化客户适配管理规则的有效执行。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>第八条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 </w:t>
      </w:r>
      <w:r>
        <w:rPr>
          <w:rFonts w:ascii="仿宋_GB2312" w:hAnsi="Calibri" w:eastAsia="仿宋_GB2312" w:cs="Calibri"/>
          <w:kern w:val="0"/>
          <w:sz w:val="32"/>
          <w:szCs w:val="32"/>
        </w:rPr>
        <w:t>客户风险等级评估与更新机制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本行应建立健全客户风险等级评估与定期更新机制，确保客户风险承受能力评估结果真实、准确、及时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，</w:t>
      </w:r>
      <w:r>
        <w:rPr>
          <w:rFonts w:ascii="仿宋_GB2312" w:hAnsi="Calibri" w:eastAsia="仿宋_GB2312" w:cs="Calibri"/>
          <w:kern w:val="0"/>
          <w:sz w:val="32"/>
          <w:szCs w:val="32"/>
        </w:rPr>
        <w:t>相关要求如下：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（一）客户在首次办理保险业务前，须完成《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风险评估</w:t>
      </w:r>
      <w:r>
        <w:rPr>
          <w:rFonts w:ascii="仿宋_GB2312" w:hAnsi="Calibri" w:eastAsia="仿宋_GB2312" w:cs="Calibri"/>
          <w:kern w:val="0"/>
          <w:sz w:val="32"/>
          <w:szCs w:val="32"/>
        </w:rPr>
        <w:t>》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问卷</w:t>
      </w:r>
      <w:r>
        <w:rPr>
          <w:rFonts w:ascii="仿宋_GB2312" w:hAnsi="Calibri" w:eastAsia="仿宋_GB2312" w:cs="Calibri"/>
          <w:kern w:val="0"/>
          <w:sz w:val="32"/>
          <w:szCs w:val="32"/>
        </w:rPr>
        <w:t>，由系统自动判定其风险等级（C1至C5），并留存评估记录；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（二）客户风险等级有效期为12个月，自评估完成之日起计算，期满需重新评估。客户在有效期内主动申请更新的，可重新评估；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（三）出现以下任一情形时，销售人员应引导客户提前更新其风险等级评估：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1. 客户年龄、收入、家庭状况等重要信息发生重大变化；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2. 客户主动表示投资偏好或风险态度发生变化；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3. 客户拟购买的保险产品风险等级高于当前风险等级匹配上限；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4. 本行认为客户原风险等级不再适用的其他情形。</w:t>
      </w:r>
    </w:p>
    <w:p>
      <w:pPr>
        <w:spacing w:line="360" w:lineRule="auto"/>
        <w:ind w:firstLine="645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（四）客户风险评估结果一经更新，应即时同步至销售系统并作为后续产品适配依据，确保“产品风险等级 ≤ 客户风险等级”原则的有效落实。</w:t>
      </w:r>
    </w:p>
    <w:bookmarkEnd w:id="14"/>
    <w:p>
      <w:pPr>
        <w:spacing w:line="360" w:lineRule="auto"/>
        <w:ind w:firstLine="643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b/>
          <w:bCs/>
          <w:kern w:val="0"/>
          <w:sz w:val="32"/>
          <w:szCs w:val="32"/>
        </w:rPr>
        <w:t>第九条</w:t>
      </w:r>
      <w:r>
        <w:rPr>
          <w:rFonts w:hint="eastAsia" w:ascii="仿宋_GB2312" w:hAnsi="Calibri" w:eastAsia="仿宋_GB2312" w:cs="Calibri"/>
          <w:b/>
          <w:bCs/>
          <w:kern w:val="0"/>
          <w:sz w:val="32"/>
          <w:szCs w:val="32"/>
        </w:rPr>
        <w:t xml:space="preserve"> </w:t>
      </w:r>
      <w:r>
        <w:rPr>
          <w:rFonts w:ascii="仿宋_GB2312" w:hAnsi="Calibri" w:eastAsia="仿宋_GB2312" w:cs="Calibri"/>
          <w:kern w:val="0"/>
          <w:sz w:val="32"/>
          <w:szCs w:val="32"/>
        </w:rPr>
        <w:t>客户适配性销售行为管理要求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为确保保险销售过程中客户适配性原则有效执行，本行对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保险</w:t>
      </w:r>
      <w:r>
        <w:rPr>
          <w:rFonts w:ascii="仿宋_GB2312" w:hAnsi="Calibri" w:eastAsia="仿宋_GB2312" w:cs="Calibri"/>
          <w:kern w:val="0"/>
          <w:sz w:val="32"/>
          <w:szCs w:val="32"/>
        </w:rPr>
        <w:t>销售人员适配性销售行为提出以下管理要求：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（一）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保险</w:t>
      </w:r>
      <w:r>
        <w:rPr>
          <w:rFonts w:ascii="仿宋_GB2312" w:hAnsi="Calibri" w:eastAsia="仿宋_GB2312" w:cs="Calibri"/>
          <w:kern w:val="0"/>
          <w:sz w:val="32"/>
          <w:szCs w:val="32"/>
        </w:rPr>
        <w:t>销售人员在销售保险产品前，应主动查阅客户最新风险等级评估结果，确保所推荐产品符合“产品风险等级 ≤ 客户风险等级”的匹配要求；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（二）若客户拟购买产品风险等级高于其风险等级匹配上限的，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保险</w:t>
      </w:r>
      <w:r>
        <w:rPr>
          <w:rFonts w:ascii="仿宋_GB2312" w:hAnsi="Calibri" w:eastAsia="仿宋_GB2312" w:cs="Calibri"/>
          <w:kern w:val="0"/>
          <w:sz w:val="32"/>
          <w:szCs w:val="32"/>
        </w:rPr>
        <w:t>销售人员应暂停销售流程，引导客户先行完成风险等级更新或重新评估；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三</w:t>
      </w:r>
      <w:r>
        <w:rPr>
          <w:rFonts w:ascii="仿宋_GB2312" w:hAnsi="Calibri" w:eastAsia="仿宋_GB2312" w:cs="Calibri"/>
          <w:kern w:val="0"/>
          <w:sz w:val="32"/>
          <w:szCs w:val="32"/>
        </w:rPr>
        <w:t>）销售人员在销售过程中应全面告知保险产品的保障责任、费用结构、退保机制等重点信息，确保客户真实、充分知情，并保留客户确认记录；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四</w:t>
      </w:r>
      <w:r>
        <w:rPr>
          <w:rFonts w:ascii="仿宋_GB2312" w:hAnsi="Calibri" w:eastAsia="仿宋_GB2312" w:cs="Calibri"/>
          <w:kern w:val="0"/>
          <w:sz w:val="32"/>
          <w:szCs w:val="32"/>
        </w:rPr>
        <w:t>）适配销售过程须纳入“双录”管理范围，确保客户选择与实际匹配情况一致，防范适配性违规销售；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</w:t>
      </w:r>
      <w:r>
        <w:rPr>
          <w:rFonts w:hint="eastAsia" w:ascii="仿宋_GB2312" w:hAnsi="Calibri" w:eastAsia="仿宋_GB2312" w:cs="Calibri"/>
          <w:kern w:val="0"/>
          <w:sz w:val="32"/>
          <w:szCs w:val="32"/>
        </w:rPr>
        <w:t>五</w:t>
      </w:r>
      <w:r>
        <w:rPr>
          <w:rFonts w:ascii="仿宋_GB2312" w:hAnsi="Calibri" w:eastAsia="仿宋_GB2312" w:cs="Calibri"/>
          <w:kern w:val="0"/>
          <w:sz w:val="32"/>
          <w:szCs w:val="32"/>
        </w:rPr>
        <w:t>）对出现客户适配等级与产品风险等级不符、存在误导销售、规避适配要求等情形的销售行为，将纳入销售合规检查及责任追究范围</w:t>
      </w:r>
    </w:p>
    <w:p>
      <w:pPr>
        <w:spacing w:line="360" w:lineRule="auto"/>
        <w:ind w:firstLine="643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b/>
          <w:bCs/>
          <w:kern w:val="0"/>
          <w:sz w:val="32"/>
          <w:szCs w:val="32"/>
        </w:rPr>
        <w:t xml:space="preserve">第十条 </w:t>
      </w:r>
      <w:r>
        <w:rPr>
          <w:rFonts w:ascii="仿宋_GB2312" w:hAnsi="Calibri" w:eastAsia="仿宋_GB2312" w:cs="Calibri"/>
          <w:kern w:val="0"/>
          <w:sz w:val="32"/>
          <w:szCs w:val="32"/>
        </w:rPr>
        <w:t>适配管理执行监督与责任追究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（一）零售金融部应将本办法执行情况纳入常态化监督检查内容，定期抽查保险销售过程中客户风险评估、产品匹配结果与销售双录资料等关键环节，确保适配规则有效落实。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（二）检查中如发现销售行为存在以下情形之一的，应责令整改，并视情节轻重追究相关责任人责任：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1. </w:t>
      </w:r>
      <w:r>
        <w:rPr>
          <w:rFonts w:ascii="仿宋_GB2312" w:hAnsi="Calibri" w:eastAsia="仿宋_GB2312" w:cs="Calibri"/>
          <w:kern w:val="0"/>
          <w:sz w:val="32"/>
          <w:szCs w:val="32"/>
        </w:rPr>
        <w:t>未对客户进行风险等级评估，或评估方式不符合本办法要求的；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2. </w:t>
      </w:r>
      <w:r>
        <w:rPr>
          <w:rFonts w:ascii="仿宋_GB2312" w:hAnsi="Calibri" w:eastAsia="仿宋_GB2312" w:cs="Calibri"/>
          <w:kern w:val="0"/>
          <w:sz w:val="32"/>
          <w:szCs w:val="32"/>
        </w:rPr>
        <w:t>向不适配客户推荐或销售高于其风险等级的保险产品的；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3. </w:t>
      </w:r>
      <w:r>
        <w:rPr>
          <w:rFonts w:ascii="仿宋_GB2312" w:hAnsi="Calibri" w:eastAsia="仿宋_GB2312" w:cs="Calibri"/>
          <w:kern w:val="0"/>
          <w:sz w:val="32"/>
          <w:szCs w:val="32"/>
        </w:rPr>
        <w:t>规避适配机制、故意误导客户风险偏好或篡改评估结果的；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4. </w:t>
      </w:r>
      <w:r>
        <w:rPr>
          <w:rFonts w:ascii="仿宋_GB2312" w:hAnsi="Calibri" w:eastAsia="仿宋_GB2312" w:cs="Calibri"/>
          <w:kern w:val="0"/>
          <w:sz w:val="32"/>
          <w:szCs w:val="32"/>
        </w:rPr>
        <w:t>未如实录入评估信息、未完成销售双录或录音录像资料缺失的；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hint="eastAsia" w:ascii="仿宋_GB2312" w:hAnsi="Calibri" w:eastAsia="仿宋_GB2312" w:cs="Calibri"/>
          <w:kern w:val="0"/>
          <w:sz w:val="32"/>
          <w:szCs w:val="32"/>
        </w:rPr>
        <w:t xml:space="preserve">5. </w:t>
      </w:r>
      <w:r>
        <w:rPr>
          <w:rFonts w:ascii="仿宋_GB2312" w:hAnsi="Calibri" w:eastAsia="仿宋_GB2312" w:cs="Calibri"/>
          <w:kern w:val="0"/>
          <w:sz w:val="32"/>
          <w:szCs w:val="32"/>
        </w:rPr>
        <w:t>拒不执行产品风险等级调整或客户风险等级复评工作的。</w:t>
      </w:r>
    </w:p>
    <w:p>
      <w:pPr>
        <w:spacing w:line="360" w:lineRule="auto"/>
        <w:ind w:firstLine="640" w:firstLineChars="200"/>
        <w:rPr>
          <w:rFonts w:ascii="仿宋_GB2312" w:hAnsi="Calibri" w:eastAsia="仿宋_GB2312" w:cs="Calibri"/>
          <w:kern w:val="0"/>
          <w:sz w:val="32"/>
          <w:szCs w:val="32"/>
        </w:rPr>
      </w:pPr>
      <w:r>
        <w:rPr>
          <w:rFonts w:ascii="仿宋_GB2312" w:hAnsi="Calibri" w:eastAsia="仿宋_GB2312" w:cs="Calibri"/>
          <w:kern w:val="0"/>
          <w:sz w:val="32"/>
          <w:szCs w:val="32"/>
        </w:rPr>
        <w:t>（三）监督检查结果应纳入保险销售人员绩效与合规考评体系，作为销售授权、培训安排、资格保留与奖惩激励的重要依据。</w:t>
      </w:r>
      <w:bookmarkEnd w:id="4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bookmarkStart w:id="16" w:name="_GoBack"/>
    <w:bookmarkEnd w:id="16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845"/>
    <w:rsid w:val="000200BF"/>
    <w:rsid w:val="00031736"/>
    <w:rsid w:val="000466EB"/>
    <w:rsid w:val="00083C4E"/>
    <w:rsid w:val="000C06F8"/>
    <w:rsid w:val="00120757"/>
    <w:rsid w:val="001A700A"/>
    <w:rsid w:val="001C3C23"/>
    <w:rsid w:val="0021540F"/>
    <w:rsid w:val="002421BC"/>
    <w:rsid w:val="00265A01"/>
    <w:rsid w:val="00296249"/>
    <w:rsid w:val="002D0C9C"/>
    <w:rsid w:val="003160FF"/>
    <w:rsid w:val="00362845"/>
    <w:rsid w:val="00383FB3"/>
    <w:rsid w:val="003D3D1B"/>
    <w:rsid w:val="004373DC"/>
    <w:rsid w:val="004868A1"/>
    <w:rsid w:val="00516047"/>
    <w:rsid w:val="0057051E"/>
    <w:rsid w:val="0057252B"/>
    <w:rsid w:val="005974F1"/>
    <w:rsid w:val="005C152B"/>
    <w:rsid w:val="005D0C0D"/>
    <w:rsid w:val="005E5B4D"/>
    <w:rsid w:val="00613CDF"/>
    <w:rsid w:val="006245C4"/>
    <w:rsid w:val="007D0B02"/>
    <w:rsid w:val="007E2CE6"/>
    <w:rsid w:val="00890998"/>
    <w:rsid w:val="0089321A"/>
    <w:rsid w:val="008D28ED"/>
    <w:rsid w:val="00A801BE"/>
    <w:rsid w:val="00AC1BC4"/>
    <w:rsid w:val="00AC304D"/>
    <w:rsid w:val="00B03966"/>
    <w:rsid w:val="00B71878"/>
    <w:rsid w:val="00B8335D"/>
    <w:rsid w:val="00B86BDB"/>
    <w:rsid w:val="00BB44C1"/>
    <w:rsid w:val="00C153F3"/>
    <w:rsid w:val="00C442D4"/>
    <w:rsid w:val="00CB330D"/>
    <w:rsid w:val="00D32E86"/>
    <w:rsid w:val="00D44FE6"/>
    <w:rsid w:val="00DB6AC3"/>
    <w:rsid w:val="00DC5385"/>
    <w:rsid w:val="00DC53CD"/>
    <w:rsid w:val="00DE2907"/>
    <w:rsid w:val="00DE7A66"/>
    <w:rsid w:val="00E10A29"/>
    <w:rsid w:val="00E112A1"/>
    <w:rsid w:val="00E81F76"/>
    <w:rsid w:val="00E83DD8"/>
    <w:rsid w:val="00EA648E"/>
    <w:rsid w:val="00EE5154"/>
    <w:rsid w:val="00F02490"/>
    <w:rsid w:val="00F71A6E"/>
    <w:rsid w:val="38AB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104862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104862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6">
    <w:name w:val="Table Grid"/>
    <w:basedOn w:val="15"/>
    <w:qFormat/>
    <w:uiPriority w:val="39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104862" w:themeColor="accent1" w:themeShade="BF"/>
      <w:sz w:val="22"/>
      <w:szCs w:val="24"/>
      <w14:ligatures w14:val="standardContextual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  <w14:ligatures w14:val="none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1115</Words>
  <Characters>1128</Characters>
  <Lines>80</Lines>
  <Paragraphs>67</Paragraphs>
  <TotalTime>165</TotalTime>
  <ScaleCrop>false</ScaleCrop>
  <LinksUpToDate>false</LinksUpToDate>
  <CharactersWithSpaces>2176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2025-07-07T14:43:00Z</dcterms:created>
  <dc:creator>Qing Chen</dc:creator>
  <cp:lastModifiedBy>张瑞</cp:lastModifiedBy>
  <dcterms:modified xsi:type="dcterms:W3CDTF">2025-07-18T09:11:01Z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D0660EA3B4724A43B23FA8C48416F629</vt:lpwstr>
  </property>
</Properties>
</file>