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9"/>
        <w:rPr>
          <w:rFonts w:hint="eastAsia"/>
        </w:rPr>
      </w:pPr>
      <w:bookmarkStart w:id="0" w:name="OLE_LINK37"/>
      <w:r>
        <w:rPr>
          <w:rFonts w:hint="eastAsia"/>
        </w:rPr>
        <w:t>附件3：</w:t>
      </w:r>
      <w:bookmarkStart w:id="1" w:name="OLE_LINK18"/>
      <w:bookmarkStart w:id="2" w:name="_Hlk202820854"/>
    </w:p>
    <w:p>
      <w:pPr>
        <w:spacing w:line="360" w:lineRule="auto"/>
        <w:jc w:val="center"/>
        <w:rPr>
          <w:rFonts w:ascii="仿宋_GB2312" w:hAnsi="Calibri" w:eastAsia="仿宋_GB2312" w:cs="Calibri"/>
          <w:b/>
          <w:bCs/>
          <w:kern w:val="0"/>
          <w:sz w:val="32"/>
          <w:szCs w:val="32"/>
        </w:rPr>
      </w:pPr>
      <w:bookmarkStart w:id="3" w:name="OLE_LINK41"/>
      <w:r>
        <w:rPr>
          <w:rFonts w:hint="eastAsia" w:ascii="仿宋_GB2312" w:hAnsi="Calibri" w:eastAsia="仿宋_GB2312" w:cs="Calibri"/>
          <w:b/>
          <w:bCs/>
          <w:kern w:val="0"/>
          <w:sz w:val="32"/>
          <w:szCs w:val="32"/>
        </w:rPr>
        <w:t>沛县农商银行保险代理业务销售双录规范管理及</w:t>
      </w:r>
      <w:bookmarkEnd w:id="1"/>
      <w:r>
        <w:rPr>
          <w:rFonts w:hint="eastAsia" w:ascii="仿宋_GB2312" w:hAnsi="Calibri" w:eastAsia="仿宋_GB2312" w:cs="Calibri"/>
          <w:b/>
          <w:bCs/>
          <w:kern w:val="0"/>
          <w:sz w:val="32"/>
          <w:szCs w:val="32"/>
        </w:rPr>
        <w:t>操作指引</w:t>
      </w:r>
    </w:p>
    <w:bookmarkEnd w:id="0"/>
    <w:bookmarkEnd w:id="2"/>
    <w:p>
      <w:pPr>
        <w:spacing w:line="360" w:lineRule="auto"/>
        <w:ind w:firstLine="643" w:firstLineChars="200"/>
        <w:rPr>
          <w:rFonts w:ascii="仿宋_GB2312" w:hAnsi="Calibri" w:eastAsia="仿宋_GB2312" w:cs="Calibri"/>
          <w:kern w:val="0"/>
          <w:sz w:val="32"/>
          <w:szCs w:val="32"/>
        </w:rPr>
      </w:pPr>
      <w:bookmarkStart w:id="4" w:name="OLE_LINK42"/>
      <w:r>
        <w:rPr>
          <w:rFonts w:hint="eastAsia" w:ascii="仿宋_GB2312" w:hAnsi="Calibri" w:eastAsia="仿宋_GB2312" w:cs="Calibri"/>
          <w:b/>
          <w:bCs/>
          <w:kern w:val="0"/>
          <w:sz w:val="32"/>
          <w:szCs w:val="32"/>
        </w:rPr>
        <w:t>第一条</w:t>
      </w:r>
      <w:r>
        <w:rPr>
          <w:rFonts w:hint="eastAsia" w:ascii="仿宋_GB2312" w:hAnsi="Calibri" w:eastAsia="仿宋_GB2312" w:cs="Calibri"/>
          <w:kern w:val="0"/>
          <w:sz w:val="32"/>
          <w:szCs w:val="32"/>
        </w:rPr>
        <w:t xml:space="preserve"> 为进一步规范本行保险销售行为，切实保护保险消费者合法权益，促进本行保险代理业务规范、可持续、健康发展，依据国家监管部门相关规定，</w:t>
      </w:r>
      <w:bookmarkStart w:id="5" w:name="OLE_LINK19"/>
      <w:r>
        <w:rPr>
          <w:rFonts w:hint="eastAsia" w:ascii="仿宋_GB2312" w:hAnsi="Calibri" w:eastAsia="仿宋_GB2312" w:cs="Calibri"/>
          <w:kern w:val="0"/>
          <w:sz w:val="32"/>
          <w:szCs w:val="32"/>
        </w:rPr>
        <w:t>特制订本指引作为《沛县农村商业银行股份有限公司保险代理业务规范管理规定》配套附件执行。</w:t>
      </w:r>
    </w:p>
    <w:bookmarkEnd w:id="4"/>
    <w:bookmarkEnd w:id="5"/>
    <w:p>
      <w:pPr>
        <w:spacing w:line="360" w:lineRule="auto"/>
        <w:ind w:firstLine="643" w:firstLineChars="200"/>
        <w:rPr>
          <w:rFonts w:ascii="仿宋_GB2312" w:hAnsi="Calibri" w:eastAsia="仿宋_GB2312" w:cs="Calibri"/>
          <w:kern w:val="0"/>
          <w:sz w:val="32"/>
          <w:szCs w:val="32"/>
        </w:rPr>
      </w:pPr>
      <w:bookmarkStart w:id="6" w:name="OLE_LINK22"/>
      <w:bookmarkStart w:id="7" w:name="OLE_LINK27"/>
      <w:bookmarkStart w:id="8" w:name="OLE_LINK26"/>
      <w:r>
        <w:rPr>
          <w:rFonts w:hint="eastAsia" w:ascii="仿宋_GB2312" w:hAnsi="Calibri" w:eastAsia="仿宋_GB2312" w:cs="Calibri"/>
          <w:b/>
          <w:bCs/>
          <w:kern w:val="0"/>
          <w:sz w:val="32"/>
          <w:szCs w:val="32"/>
        </w:rPr>
        <w:t>第二条</w:t>
      </w:r>
      <w:r>
        <w:rPr>
          <w:rFonts w:hint="eastAsia" w:ascii="仿宋_GB2312" w:hAnsi="Calibri" w:eastAsia="仿宋_GB2312" w:cs="Calibri"/>
          <w:kern w:val="0"/>
          <w:sz w:val="32"/>
          <w:szCs w:val="32"/>
        </w:rPr>
        <w:t xml:space="preserve"> </w:t>
      </w:r>
      <w:bookmarkEnd w:id="6"/>
      <w:r>
        <w:rPr>
          <w:rFonts w:ascii="仿宋_GB2312" w:hAnsi="Calibri" w:eastAsia="仿宋_GB2312" w:cs="Calibri"/>
          <w:kern w:val="0"/>
          <w:sz w:val="32"/>
          <w:szCs w:val="32"/>
        </w:rPr>
        <w:t>保险销售人员在销售关键环节录制的音视频资料应真实、完整、连续，能够清晰识别销售人员与客户的面部特征、有效身份证件、投保文件标题、签署内容、交谈过程、展示动作及文件阅读情况</w:t>
      </w:r>
      <w:r>
        <w:rPr>
          <w:rFonts w:hint="eastAsia" w:ascii="仿宋_GB2312" w:hAnsi="Calibri" w:eastAsia="仿宋_GB2312" w:cs="Calibri"/>
          <w:kern w:val="0"/>
          <w:sz w:val="32"/>
          <w:szCs w:val="32"/>
        </w:rPr>
        <w:t>等</w:t>
      </w:r>
      <w:r>
        <w:rPr>
          <w:rFonts w:ascii="仿宋_GB2312" w:hAnsi="Calibri" w:eastAsia="仿宋_GB2312" w:cs="Calibri"/>
          <w:kern w:val="0"/>
          <w:sz w:val="32"/>
          <w:szCs w:val="32"/>
        </w:rPr>
        <w:t>。</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录制完成后，不得以任何形式对双录资料进行剪辑、删减或拼接，确保资料原始性和可追溯性</w:t>
      </w:r>
    </w:p>
    <w:bookmarkEnd w:id="7"/>
    <w:p>
      <w:pPr>
        <w:spacing w:line="360" w:lineRule="auto"/>
        <w:ind w:firstLine="643" w:firstLineChars="200"/>
        <w:rPr>
          <w:rFonts w:ascii="仿宋_GB2312" w:hAnsi="Calibri" w:eastAsia="仿宋_GB2312" w:cs="Calibri"/>
          <w:kern w:val="0"/>
          <w:sz w:val="32"/>
          <w:szCs w:val="32"/>
        </w:rPr>
      </w:pPr>
      <w:bookmarkStart w:id="9" w:name="OLE_LINK43"/>
      <w:bookmarkStart w:id="10" w:name="OLE_LINK44"/>
      <w:r>
        <w:rPr>
          <w:rFonts w:hint="eastAsia" w:ascii="仿宋_GB2312" w:hAnsi="Calibri" w:eastAsia="仿宋_GB2312" w:cs="Calibri"/>
          <w:b/>
          <w:bCs/>
          <w:kern w:val="0"/>
          <w:sz w:val="32"/>
          <w:szCs w:val="32"/>
        </w:rPr>
        <w:t>第三条</w:t>
      </w:r>
      <w:r>
        <w:rPr>
          <w:rFonts w:hint="eastAsia" w:ascii="仿宋_GB2312" w:hAnsi="Calibri" w:eastAsia="仿宋_GB2312" w:cs="Calibri"/>
          <w:kern w:val="0"/>
          <w:sz w:val="32"/>
          <w:szCs w:val="32"/>
        </w:rPr>
        <w:t xml:space="preserve"> 录制时点要求</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保险销售人员在开展代理销售业务过程中，应在以下环</w:t>
      </w:r>
      <w:r>
        <w:rPr>
          <w:rFonts w:ascii="仿宋_GB2312" w:hAnsi="Calibri" w:eastAsia="仿宋_GB2312" w:cs="Calibri"/>
          <w:b w:val="0"/>
          <w:bCs w:val="0"/>
          <w:kern w:val="0"/>
          <w:sz w:val="32"/>
          <w:szCs w:val="32"/>
        </w:rPr>
        <w:t>节统一进行</w:t>
      </w:r>
      <w:r>
        <w:rPr>
          <w:rFonts w:hint="eastAsia" w:ascii="仿宋_GB2312" w:hAnsi="Calibri" w:eastAsia="仿宋_GB2312" w:cs="Calibri"/>
          <w:b w:val="0"/>
          <w:bCs w:val="0"/>
          <w:kern w:val="0"/>
          <w:sz w:val="32"/>
          <w:szCs w:val="32"/>
        </w:rPr>
        <w:t>现场同步录音录像</w:t>
      </w:r>
      <w:r>
        <w:rPr>
          <w:rFonts w:ascii="仿宋_GB2312" w:hAnsi="Calibri" w:eastAsia="仿宋_GB2312" w:cs="Calibri"/>
          <w:b w:val="0"/>
          <w:bCs w:val="0"/>
          <w:kern w:val="0"/>
          <w:sz w:val="32"/>
          <w:szCs w:val="32"/>
        </w:rPr>
        <w:t>，</w:t>
      </w:r>
      <w:r>
        <w:rPr>
          <w:rFonts w:ascii="仿宋_GB2312" w:hAnsi="Calibri" w:eastAsia="仿宋_GB2312" w:cs="Calibri"/>
          <w:kern w:val="0"/>
          <w:sz w:val="32"/>
          <w:szCs w:val="32"/>
        </w:rPr>
        <w:t>并由系统自动记录录制发生时间，确保全过程留痕、可追溯：</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（一）客户填写《沛县农商银行保险代理业务超龄客户投保</w:t>
      </w:r>
      <w:r>
        <w:rPr>
          <w:rFonts w:hint="eastAsia" w:ascii="仿宋_GB2312" w:hAnsi="Calibri" w:eastAsia="仿宋_GB2312" w:cs="Calibri"/>
          <w:kern w:val="0"/>
          <w:sz w:val="32"/>
          <w:szCs w:val="32"/>
          <w:lang w:val="en-US" w:eastAsia="zh-CN"/>
        </w:rPr>
        <w:t>确认</w:t>
      </w:r>
      <w:r>
        <w:rPr>
          <w:rFonts w:ascii="仿宋_GB2312" w:hAnsi="Calibri" w:eastAsia="仿宋_GB2312" w:cs="Calibri"/>
          <w:kern w:val="0"/>
          <w:sz w:val="32"/>
          <w:szCs w:val="32"/>
        </w:rPr>
        <w:t>函》；</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（二）客户填写《</w:t>
      </w:r>
      <w:bookmarkEnd w:id="9"/>
      <w:r>
        <w:rPr>
          <w:rFonts w:ascii="仿宋_GB2312" w:hAnsi="Calibri" w:eastAsia="仿宋_GB2312" w:cs="Calibri"/>
          <w:kern w:val="0"/>
          <w:sz w:val="32"/>
          <w:szCs w:val="32"/>
        </w:rPr>
        <w:t>沛县农商银行</w:t>
      </w:r>
      <w:r>
        <w:rPr>
          <w:rFonts w:hint="eastAsia" w:ascii="仿宋_GB2312" w:hAnsi="Calibri" w:eastAsia="仿宋_GB2312" w:cs="Calibri"/>
          <w:kern w:val="0"/>
          <w:sz w:val="32"/>
          <w:szCs w:val="32"/>
          <w:lang w:val="en-US" w:eastAsia="zh-CN"/>
        </w:rPr>
        <w:t>保险代理业务</w:t>
      </w:r>
      <w:r>
        <w:rPr>
          <w:rFonts w:ascii="仿宋_GB2312" w:hAnsi="Calibri" w:eastAsia="仿宋_GB2312" w:cs="Calibri"/>
          <w:kern w:val="0"/>
          <w:sz w:val="32"/>
          <w:szCs w:val="32"/>
        </w:rPr>
        <w:t>客户投保提示函（</w:t>
      </w:r>
      <w:bookmarkStart w:id="11" w:name="OLE_LINK29"/>
      <w:r>
        <w:rPr>
          <w:rFonts w:ascii="仿宋_GB2312" w:hAnsi="Calibri" w:eastAsia="仿宋_GB2312" w:cs="Calibri"/>
          <w:kern w:val="0"/>
          <w:sz w:val="32"/>
          <w:szCs w:val="32"/>
        </w:rPr>
        <w:t>分红</w:t>
      </w:r>
      <w:r>
        <w:rPr>
          <w:rFonts w:hint="eastAsia" w:ascii="仿宋_GB2312" w:hAnsi="Calibri" w:eastAsia="仿宋_GB2312" w:cs="Calibri"/>
          <w:kern w:val="0"/>
          <w:sz w:val="32"/>
          <w:szCs w:val="32"/>
        </w:rPr>
        <w:t>或万能</w:t>
      </w:r>
      <w:r>
        <w:rPr>
          <w:rFonts w:ascii="仿宋_GB2312" w:hAnsi="Calibri" w:eastAsia="仿宋_GB2312" w:cs="Calibri"/>
          <w:kern w:val="0"/>
          <w:sz w:val="32"/>
          <w:szCs w:val="32"/>
        </w:rPr>
        <w:t>型产品</w:t>
      </w:r>
      <w:bookmarkEnd w:id="11"/>
      <w:r>
        <w:rPr>
          <w:rFonts w:ascii="仿宋_GB2312" w:hAnsi="Calibri" w:eastAsia="仿宋_GB2312" w:cs="Calibri"/>
          <w:kern w:val="0"/>
          <w:sz w:val="32"/>
          <w:szCs w:val="32"/>
        </w:rPr>
        <w:t>）/（非分红</w:t>
      </w:r>
      <w:r>
        <w:rPr>
          <w:rFonts w:hint="eastAsia" w:ascii="仿宋_GB2312" w:hAnsi="Calibri" w:eastAsia="仿宋_GB2312" w:cs="Calibri"/>
          <w:kern w:val="0"/>
          <w:sz w:val="32"/>
          <w:szCs w:val="32"/>
        </w:rPr>
        <w:t>或万能</w:t>
      </w:r>
      <w:r>
        <w:rPr>
          <w:rFonts w:ascii="仿宋_GB2312" w:hAnsi="Calibri" w:eastAsia="仿宋_GB2312" w:cs="Calibri"/>
          <w:kern w:val="0"/>
          <w:sz w:val="32"/>
          <w:szCs w:val="32"/>
        </w:rPr>
        <w:t>型产品）》；</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（三）客户签署《</w:t>
      </w:r>
      <w:r>
        <w:rPr>
          <w:rFonts w:hint="eastAsia" w:ascii="仿宋_GB2312" w:hAnsi="Calibri" w:eastAsia="仿宋_GB2312" w:cs="Calibri"/>
          <w:kern w:val="0"/>
          <w:sz w:val="32"/>
          <w:szCs w:val="32"/>
        </w:rPr>
        <w:t>沛县农商银行保险代理业务</w:t>
      </w:r>
      <w:r>
        <w:rPr>
          <w:rFonts w:ascii="仿宋_GB2312" w:hAnsi="Calibri" w:eastAsia="仿宋_GB2312" w:cs="Calibri"/>
          <w:kern w:val="0"/>
          <w:sz w:val="32"/>
          <w:szCs w:val="32"/>
        </w:rPr>
        <w:t>个人</w:t>
      </w:r>
      <w:r>
        <w:rPr>
          <w:rFonts w:hint="eastAsia" w:ascii="仿宋_GB2312" w:hAnsi="Calibri" w:eastAsia="仿宋_GB2312" w:cs="Calibri"/>
          <w:kern w:val="0"/>
          <w:sz w:val="32"/>
          <w:szCs w:val="32"/>
          <w:lang w:val="en-US" w:eastAsia="zh-CN"/>
        </w:rPr>
        <w:t>授权委托书</w:t>
      </w:r>
      <w:r>
        <w:rPr>
          <w:rFonts w:ascii="仿宋_GB2312" w:hAnsi="Calibri" w:eastAsia="仿宋_GB2312" w:cs="Calibri"/>
          <w:kern w:val="0"/>
          <w:sz w:val="32"/>
          <w:szCs w:val="32"/>
        </w:rPr>
        <w:t>》；</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（四）客户填写《沛县农商银行线下单报备</w:t>
      </w:r>
      <w:r>
        <w:rPr>
          <w:rFonts w:hint="eastAsia" w:ascii="仿宋_GB2312" w:hAnsi="Calibri" w:eastAsia="仿宋_GB2312" w:cs="Calibri"/>
          <w:kern w:val="0"/>
          <w:sz w:val="32"/>
          <w:szCs w:val="32"/>
          <w:lang w:val="en-US" w:eastAsia="zh-CN"/>
        </w:rPr>
        <w:t>申请表</w:t>
      </w:r>
      <w:r>
        <w:rPr>
          <w:rFonts w:ascii="仿宋_GB2312" w:hAnsi="Calibri" w:eastAsia="仿宋_GB2312" w:cs="Calibri"/>
          <w:kern w:val="0"/>
          <w:sz w:val="32"/>
          <w:szCs w:val="32"/>
        </w:rPr>
        <w:t>》；</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（五）客户填写《投保单》（含电子化投保单）</w:t>
      </w:r>
      <w:r>
        <w:rPr>
          <w:rFonts w:hint="eastAsia" w:ascii="仿宋_GB2312" w:hAnsi="Calibri" w:eastAsia="仿宋_GB2312" w:cs="Calibri"/>
          <w:kern w:val="0"/>
          <w:sz w:val="32"/>
          <w:szCs w:val="32"/>
        </w:rPr>
        <w:t>；</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（六）其他以上未提及的投保相关文件材料。</w:t>
      </w:r>
    </w:p>
    <w:bookmarkEnd w:id="8"/>
    <w:bookmarkEnd w:id="10"/>
    <w:p>
      <w:pPr>
        <w:spacing w:line="360" w:lineRule="auto"/>
        <w:ind w:firstLine="643" w:firstLineChars="200"/>
        <w:rPr>
          <w:rFonts w:ascii="仿宋_GB2312" w:hAnsi="Calibri" w:eastAsia="仿宋_GB2312" w:cs="Calibri"/>
          <w:kern w:val="0"/>
          <w:sz w:val="32"/>
          <w:szCs w:val="32"/>
        </w:rPr>
      </w:pPr>
      <w:bookmarkStart w:id="12" w:name="OLE_LINK31"/>
      <w:bookmarkStart w:id="13" w:name="OLE_LINK45"/>
      <w:bookmarkStart w:id="14" w:name="OLE_LINK30"/>
      <w:r>
        <w:rPr>
          <w:rFonts w:hint="eastAsia" w:ascii="仿宋_GB2312" w:hAnsi="Calibri" w:eastAsia="仿宋_GB2312" w:cs="Calibri"/>
          <w:b/>
          <w:bCs/>
          <w:kern w:val="0"/>
          <w:sz w:val="32"/>
          <w:szCs w:val="32"/>
        </w:rPr>
        <w:t>第四条</w:t>
      </w:r>
      <w:r>
        <w:rPr>
          <w:rFonts w:hint="eastAsia" w:ascii="仿宋_GB2312" w:hAnsi="Calibri" w:eastAsia="仿宋_GB2312" w:cs="Calibri"/>
          <w:kern w:val="0"/>
          <w:sz w:val="32"/>
          <w:szCs w:val="32"/>
        </w:rPr>
        <w:t xml:space="preserve"> 明确提示要求</w:t>
      </w:r>
    </w:p>
    <w:bookmarkEnd w:id="12"/>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保险销售人员征得客户同意现场同步录音录像后，</w:t>
      </w:r>
      <w:r>
        <w:rPr>
          <w:rFonts w:ascii="仿宋_GB2312" w:hAnsi="Calibri" w:eastAsia="仿宋_GB2312" w:cs="Calibri"/>
          <w:kern w:val="0"/>
          <w:sz w:val="32"/>
          <w:szCs w:val="32"/>
        </w:rPr>
        <w:t>应当使用统一提示话术</w:t>
      </w:r>
      <w:r>
        <w:rPr>
          <w:rFonts w:hint="eastAsia" w:ascii="仿宋_GB2312" w:hAnsi="Calibri" w:eastAsia="仿宋_GB2312" w:cs="Calibri"/>
          <w:kern w:val="0"/>
          <w:sz w:val="32"/>
          <w:szCs w:val="32"/>
        </w:rPr>
        <w:t>(含</w:t>
      </w:r>
      <w:r>
        <w:rPr>
          <w:rFonts w:ascii="仿宋_GB2312" w:hAnsi="Calibri" w:eastAsia="仿宋_GB2312" w:cs="Calibri"/>
          <w:kern w:val="0"/>
          <w:sz w:val="32"/>
          <w:szCs w:val="32"/>
        </w:rPr>
        <w:t>智能语音播报</w:t>
      </w:r>
      <w:r>
        <w:rPr>
          <w:rFonts w:hint="eastAsia" w:ascii="仿宋_GB2312" w:hAnsi="Calibri" w:eastAsia="仿宋_GB2312" w:cs="Calibri"/>
          <w:kern w:val="0"/>
          <w:sz w:val="32"/>
          <w:szCs w:val="32"/>
        </w:rPr>
        <w:t>)</w:t>
      </w:r>
      <w:r>
        <w:rPr>
          <w:rFonts w:ascii="仿宋_GB2312" w:hAnsi="Calibri" w:eastAsia="仿宋_GB2312" w:cs="Calibri"/>
          <w:kern w:val="0"/>
          <w:sz w:val="32"/>
          <w:szCs w:val="32"/>
        </w:rPr>
        <w:t>向客户明确说明录音录像的重要性。标准提示语如下：</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此次录音录像过程对于今后您维护权益非常关键，请您认真阅读您签署文件的具体内容，如实回答相关问题。如果我向您作出任何与书面文件内容不一致的承诺，您可以向我询问和再次确认，以便更好地维护您的合法权益”。</w:t>
      </w:r>
      <w:bookmarkEnd w:id="13"/>
    </w:p>
    <w:bookmarkEnd w:id="14"/>
    <w:p>
      <w:pPr>
        <w:spacing w:line="360" w:lineRule="auto"/>
        <w:ind w:firstLine="643" w:firstLineChars="200"/>
        <w:rPr>
          <w:rFonts w:ascii="仿宋_GB2312" w:hAnsi="Calibri" w:eastAsia="仿宋_GB2312" w:cs="Calibri"/>
          <w:kern w:val="0"/>
          <w:sz w:val="32"/>
          <w:szCs w:val="32"/>
        </w:rPr>
      </w:pPr>
      <w:bookmarkStart w:id="15" w:name="OLE_LINK34"/>
      <w:bookmarkStart w:id="16" w:name="OLE_LINK32"/>
      <w:bookmarkStart w:id="17" w:name="OLE_LINK46"/>
      <w:r>
        <w:rPr>
          <w:rFonts w:ascii="仿宋_GB2312" w:hAnsi="Calibri" w:eastAsia="仿宋_GB2312" w:cs="Calibri"/>
          <w:b/>
          <w:bCs/>
          <w:kern w:val="0"/>
          <w:sz w:val="32"/>
          <w:szCs w:val="32"/>
        </w:rPr>
        <w:t xml:space="preserve">第五条 </w:t>
      </w:r>
      <w:r>
        <w:rPr>
          <w:rFonts w:ascii="仿宋_GB2312" w:hAnsi="Calibri" w:eastAsia="仿宋_GB2312" w:cs="Calibri"/>
          <w:kern w:val="0"/>
          <w:sz w:val="32"/>
          <w:szCs w:val="32"/>
        </w:rPr>
        <w:t>明示身份与产品信息</w:t>
      </w:r>
    </w:p>
    <w:bookmarkEnd w:id="15"/>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（一）保险销售人员在录音录像过程中应主动向客户出示带有二维码的执业证件，并明确告知客户本人所属机构名称（标准简称）、岗位及姓名。可参考提示语（含智能语音播报）如下：</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“我是沛县农商银行营业部理财经理张三。”</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（二）保险销售人员应向客户展示并说明以下保险产品关键资料：</w:t>
      </w:r>
      <w:r>
        <w:rPr>
          <w:rFonts w:hint="eastAsia" w:ascii="仿宋_GB2312" w:hAnsi="Calibri" w:eastAsia="仿宋_GB2312" w:cs="Calibri"/>
          <w:kern w:val="0"/>
          <w:sz w:val="32"/>
          <w:szCs w:val="32"/>
        </w:rPr>
        <w:t>保险条款、投保提示书、产品利益演示表、免除保险人责任条款的书面说明等。</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（三）保险销售人员（含语音播报）须向客户说明以下关键信息：</w:t>
      </w:r>
      <w:r>
        <w:rPr>
          <w:rFonts w:hint="eastAsia" w:ascii="仿宋_GB2312" w:hAnsi="Calibri" w:eastAsia="仿宋_GB2312" w:cs="Calibri"/>
          <w:kern w:val="0"/>
          <w:sz w:val="32"/>
          <w:szCs w:val="32"/>
        </w:rPr>
        <w:t>所购买产品为保险产品、承保保险机构名称、保险责任、缴费方式、缴费金额、缴费期间、保险期间和犹豫期后退保损失风险等。</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w:t>
      </w:r>
      <w:r>
        <w:rPr>
          <w:rFonts w:ascii="仿宋_GB2312" w:hAnsi="Calibri" w:eastAsia="仿宋_GB2312" w:cs="Calibri"/>
          <w:kern w:val="0"/>
          <w:sz w:val="32"/>
          <w:szCs w:val="32"/>
        </w:rPr>
        <w:t>四）特殊产品说明义务</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 xml:space="preserve">1. </w:t>
      </w:r>
      <w:r>
        <w:rPr>
          <w:rFonts w:ascii="仿宋_GB2312" w:hAnsi="Calibri" w:eastAsia="仿宋_GB2312" w:cs="Calibri"/>
          <w:kern w:val="0"/>
          <w:sz w:val="32"/>
          <w:szCs w:val="32"/>
        </w:rPr>
        <w:t>销售人身保险新型产品，应说明保单利益存在不确定性；</w:t>
      </w:r>
      <w:r>
        <w:rPr>
          <w:rFonts w:hint="eastAsia" w:ascii="仿宋_GB2312" w:hAnsi="Calibri" w:eastAsia="仿宋_GB2312" w:cs="Calibri"/>
          <w:kern w:val="0"/>
          <w:sz w:val="32"/>
          <w:szCs w:val="32"/>
        </w:rPr>
        <w:t>还应包括保险销售从业人员出示产品说明书、客户抄录投保单风险提示语句等。</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 xml:space="preserve">2. </w:t>
      </w:r>
      <w:r>
        <w:rPr>
          <w:rFonts w:ascii="仿宋_GB2312" w:hAnsi="Calibri" w:eastAsia="仿宋_GB2312" w:cs="Calibri"/>
          <w:kern w:val="0"/>
          <w:sz w:val="32"/>
          <w:szCs w:val="32"/>
        </w:rPr>
        <w:t>销售健康保险产品，应说明合同观察期起算时间及其对客户权益的影响、指定医疗机构、续保条件、费用补偿原则等；</w:t>
      </w:r>
    </w:p>
    <w:p>
      <w:pPr>
        <w:pStyle w:val="32"/>
        <w:numPr>
          <w:ilvl w:val="0"/>
          <w:numId w:val="1"/>
        </w:numPr>
        <w:spacing w:line="360" w:lineRule="auto"/>
        <w:rPr>
          <w:rFonts w:ascii="仿宋_GB2312" w:hAnsi="Calibri" w:eastAsia="仿宋_GB2312" w:cs="Calibri"/>
          <w:kern w:val="0"/>
          <w:sz w:val="32"/>
          <w:szCs w:val="32"/>
        </w:rPr>
      </w:pPr>
      <w:r>
        <w:rPr>
          <w:rFonts w:ascii="仿宋_GB2312" w:hAnsi="Calibri" w:eastAsia="仿宋_GB2312" w:cs="Calibri"/>
          <w:kern w:val="0"/>
          <w:sz w:val="32"/>
          <w:szCs w:val="32"/>
        </w:rPr>
        <w:t>销售以死亡为给付条件的保险产品，录制内容应包含：</w:t>
      </w:r>
    </w:p>
    <w:p>
      <w:pPr>
        <w:spacing w:line="360" w:lineRule="auto"/>
        <w:rPr>
          <w:rFonts w:ascii="仿宋_GB2312" w:hAnsi="Calibri" w:eastAsia="仿宋_GB2312" w:cs="Calibri"/>
          <w:kern w:val="0"/>
          <w:sz w:val="32"/>
          <w:szCs w:val="32"/>
        </w:rPr>
      </w:pPr>
      <w:r>
        <w:rPr>
          <w:rFonts w:ascii="仿宋_GB2312" w:hAnsi="Calibri" w:eastAsia="仿宋_GB2312" w:cs="Calibri"/>
          <w:kern w:val="0"/>
          <w:sz w:val="32"/>
          <w:szCs w:val="32"/>
        </w:rPr>
        <w:t>被保险人同意投保人为其订立保险合同并认可合同内容；销售人员出示产品说明书；客户抄录投保单风险提示语句等环节。</w:t>
      </w:r>
    </w:p>
    <w:p>
      <w:pPr>
        <w:spacing w:line="360" w:lineRule="auto"/>
        <w:ind w:firstLine="643" w:firstLineChars="200"/>
        <w:rPr>
          <w:rFonts w:ascii="仿宋_GB2312" w:hAnsi="Calibri" w:eastAsia="仿宋_GB2312" w:cs="Calibri"/>
          <w:kern w:val="0"/>
          <w:sz w:val="32"/>
          <w:szCs w:val="32"/>
        </w:rPr>
      </w:pPr>
      <w:r>
        <w:rPr>
          <w:rFonts w:hint="eastAsia" w:ascii="仿宋_GB2312" w:hAnsi="Calibri" w:eastAsia="仿宋_GB2312" w:cs="Calibri"/>
          <w:b/>
          <w:bCs/>
          <w:kern w:val="0"/>
          <w:sz w:val="32"/>
          <w:szCs w:val="32"/>
        </w:rPr>
        <w:t xml:space="preserve">第六条 </w:t>
      </w:r>
      <w:r>
        <w:rPr>
          <w:rFonts w:ascii="仿宋_GB2312" w:hAnsi="Calibri" w:eastAsia="仿宋_GB2312" w:cs="Calibri"/>
          <w:kern w:val="0"/>
          <w:sz w:val="32"/>
          <w:szCs w:val="32"/>
        </w:rPr>
        <w:t>客户确认与肯定答复</w:t>
      </w:r>
      <w:bookmarkStart w:id="18" w:name="OLE_LINK35"/>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保险销售行为现场同步录音录像过程中，客户对保险销售人员</w:t>
      </w:r>
      <w:bookmarkStart w:id="19" w:name="OLE_LINK36"/>
      <w:r>
        <w:rPr>
          <w:rFonts w:hint="eastAsia" w:ascii="仿宋_GB2312" w:hAnsi="Calibri" w:eastAsia="仿宋_GB2312" w:cs="Calibri"/>
          <w:kern w:val="0"/>
          <w:sz w:val="32"/>
          <w:szCs w:val="32"/>
        </w:rPr>
        <w:t>(含智能语音播报</w:t>
      </w:r>
      <w:bookmarkEnd w:id="19"/>
      <w:r>
        <w:rPr>
          <w:rFonts w:hint="eastAsia" w:ascii="仿宋_GB2312" w:hAnsi="Calibri" w:eastAsia="仿宋_GB2312" w:cs="Calibri"/>
          <w:kern w:val="0"/>
          <w:sz w:val="32"/>
          <w:szCs w:val="32"/>
        </w:rPr>
        <w:t>)的说明告知内容作出明确、可辨的肯定答复，</w:t>
      </w:r>
      <w:r>
        <w:rPr>
          <w:rFonts w:ascii="仿宋_GB2312" w:hAnsi="Calibri" w:eastAsia="仿宋_GB2312" w:cs="Calibri"/>
          <w:kern w:val="0"/>
          <w:sz w:val="32"/>
          <w:szCs w:val="32"/>
        </w:rPr>
        <w:t>确保其充分知情、自愿购买，符合监管双录要求。</w:t>
      </w:r>
    </w:p>
    <w:bookmarkEnd w:id="18"/>
    <w:p>
      <w:pPr>
        <w:spacing w:line="360" w:lineRule="auto"/>
        <w:ind w:firstLine="643" w:firstLineChars="200"/>
        <w:rPr>
          <w:rFonts w:ascii="仿宋_GB2312" w:hAnsi="Calibri" w:eastAsia="仿宋_GB2312" w:cs="Calibri"/>
          <w:kern w:val="0"/>
          <w:sz w:val="32"/>
          <w:szCs w:val="32"/>
        </w:rPr>
      </w:pPr>
      <w:bookmarkStart w:id="20" w:name="OLE_LINK38"/>
      <w:r>
        <w:rPr>
          <w:rFonts w:hint="eastAsia" w:ascii="仿宋_GB2312" w:hAnsi="Calibri" w:eastAsia="仿宋_GB2312" w:cs="Calibri"/>
          <w:b/>
          <w:bCs/>
          <w:kern w:val="0"/>
          <w:sz w:val="32"/>
          <w:szCs w:val="32"/>
        </w:rPr>
        <w:t xml:space="preserve">第七条 </w:t>
      </w:r>
      <w:r>
        <w:rPr>
          <w:rFonts w:hint="eastAsia" w:ascii="仿宋_GB2312" w:hAnsi="Calibri" w:eastAsia="仿宋_GB2312" w:cs="Calibri"/>
          <w:kern w:val="0"/>
          <w:sz w:val="32"/>
          <w:szCs w:val="32"/>
        </w:rPr>
        <w:t>录制画面与内容规范要求</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保险销售行为现场同步录音录像应确保关键内容完整、可辨，具体要求如下：</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（一）在保险销售人员（含智能语音播报）履行说明义务及客户作出明确肯定答复的过程中，保险销售人员与客户应同框展示，确保交互行为清晰可辨。</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投保人与被保人为非同一人，且被保人未成年人，在确认被保人投保意愿、签署投保材料投保的动作与内容，投保人、被保人与保险销售人员应同框展示。</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（二）以下要素须在录制画面中清晰可见、可识别，并满足</w:t>
      </w:r>
      <w:r>
        <w:rPr>
          <w:rFonts w:hint="eastAsia" w:ascii="仿宋_GB2312" w:hAnsi="Calibri" w:eastAsia="仿宋_GB2312" w:cs="Calibri"/>
          <w:kern w:val="0"/>
          <w:sz w:val="32"/>
          <w:szCs w:val="32"/>
        </w:rPr>
        <w:t>在双录镜头前</w:t>
      </w:r>
      <w:r>
        <w:rPr>
          <w:rFonts w:ascii="仿宋_GB2312" w:hAnsi="Calibri" w:eastAsia="仿宋_GB2312" w:cs="Calibri"/>
          <w:kern w:val="0"/>
          <w:sz w:val="32"/>
          <w:szCs w:val="32"/>
        </w:rPr>
        <w:t>静态展示不少于3秒的要求：</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1. 保险销售人员的执业证明；</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2. 客户的有效身份证明；</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3. 投保相关文件资料的标题名称；</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4. 客户填写文件的动作与过程；</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5. 客户签名与抄录的风险提示语内容。</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kern w:val="0"/>
          <w:sz w:val="32"/>
          <w:szCs w:val="32"/>
        </w:rPr>
        <w:t>（三）客户进行“口头阅读投保风险提示语”或由销售人员带读后“跟读”时，客户与销售人员应同框展示，</w:t>
      </w:r>
      <w:bookmarkStart w:id="21" w:name="OLE_LINK39"/>
      <w:r>
        <w:rPr>
          <w:rFonts w:ascii="仿宋_GB2312" w:hAnsi="Calibri" w:eastAsia="仿宋_GB2312" w:cs="Calibri"/>
          <w:kern w:val="0"/>
          <w:sz w:val="32"/>
          <w:szCs w:val="32"/>
        </w:rPr>
        <w:t>录音录像应保证声音、画面同步清晰，内容完整无缺。</w:t>
      </w:r>
    </w:p>
    <w:bookmarkEnd w:id="21"/>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（四）</w:t>
      </w:r>
      <w:r>
        <w:rPr>
          <w:rFonts w:ascii="仿宋_GB2312" w:hAnsi="Calibri" w:eastAsia="仿宋_GB2312" w:cs="Calibri"/>
          <w:kern w:val="0"/>
          <w:sz w:val="32"/>
          <w:szCs w:val="32"/>
        </w:rPr>
        <w:t>当客户委托代理人操作时，以下内容须纳入录音录像资料，</w:t>
      </w:r>
      <w:r>
        <w:rPr>
          <w:rFonts w:hint="eastAsia" w:ascii="仿宋_GB2312" w:hAnsi="Calibri" w:eastAsia="仿宋_GB2312" w:cs="Calibri"/>
          <w:kern w:val="0"/>
          <w:sz w:val="32"/>
          <w:szCs w:val="32"/>
        </w:rPr>
        <w:t>录音录像应保证声音、画面同步清晰，内容完整无缺：</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 xml:space="preserve">1. </w:t>
      </w:r>
      <w:r>
        <w:rPr>
          <w:rFonts w:ascii="仿宋_GB2312" w:hAnsi="Calibri" w:eastAsia="仿宋_GB2312" w:cs="Calibri"/>
          <w:kern w:val="0"/>
          <w:sz w:val="32"/>
          <w:szCs w:val="32"/>
        </w:rPr>
        <w:t>客户进行代理人授权的口头表达；</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 xml:space="preserve">2. </w:t>
      </w:r>
      <w:r>
        <w:rPr>
          <w:rFonts w:ascii="仿宋_GB2312" w:hAnsi="Calibri" w:eastAsia="仿宋_GB2312" w:cs="Calibri"/>
          <w:kern w:val="0"/>
          <w:sz w:val="32"/>
          <w:szCs w:val="32"/>
        </w:rPr>
        <w:t>代理人填写文件时的</w:t>
      </w:r>
      <w:r>
        <w:rPr>
          <w:rFonts w:hint="eastAsia" w:ascii="仿宋_GB2312" w:hAnsi="Calibri" w:eastAsia="仿宋_GB2312" w:cs="Calibri"/>
          <w:kern w:val="0"/>
          <w:sz w:val="32"/>
          <w:szCs w:val="32"/>
        </w:rPr>
        <w:t>行为</w:t>
      </w:r>
      <w:r>
        <w:rPr>
          <w:rFonts w:ascii="仿宋_GB2312" w:hAnsi="Calibri" w:eastAsia="仿宋_GB2312" w:cs="Calibri"/>
          <w:kern w:val="0"/>
          <w:sz w:val="32"/>
          <w:szCs w:val="32"/>
        </w:rPr>
        <w:t>动作、材料名称及内容；</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 xml:space="preserve">3. </w:t>
      </w:r>
      <w:r>
        <w:rPr>
          <w:rFonts w:ascii="仿宋_GB2312" w:hAnsi="Calibri" w:eastAsia="仿宋_GB2312" w:cs="Calibri"/>
          <w:kern w:val="0"/>
          <w:sz w:val="32"/>
          <w:szCs w:val="32"/>
        </w:rPr>
        <w:t>客户对投保风险提示语的口头阅读或跟读过程；</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kern w:val="0"/>
          <w:sz w:val="32"/>
          <w:szCs w:val="32"/>
        </w:rPr>
        <w:t xml:space="preserve">4. </w:t>
      </w:r>
      <w:r>
        <w:rPr>
          <w:rFonts w:ascii="仿宋_GB2312" w:hAnsi="Calibri" w:eastAsia="仿宋_GB2312" w:cs="Calibri"/>
          <w:kern w:val="0"/>
          <w:sz w:val="32"/>
          <w:szCs w:val="32"/>
        </w:rPr>
        <w:t>客户本人、代理人及销售人员三者同框展示。</w:t>
      </w:r>
    </w:p>
    <w:bookmarkEnd w:id="20"/>
    <w:p>
      <w:pPr>
        <w:spacing w:line="360" w:lineRule="auto"/>
        <w:ind w:firstLine="643" w:firstLineChars="200"/>
        <w:rPr>
          <w:rFonts w:ascii="仿宋_GB2312" w:hAnsi="Calibri" w:eastAsia="仿宋_GB2312" w:cs="Calibri"/>
          <w:kern w:val="0"/>
          <w:sz w:val="32"/>
          <w:szCs w:val="32"/>
        </w:rPr>
      </w:pPr>
      <w:bookmarkStart w:id="22" w:name="OLE_LINK40"/>
      <w:r>
        <w:rPr>
          <w:rFonts w:ascii="仿宋_GB2312" w:hAnsi="Calibri" w:eastAsia="仿宋_GB2312" w:cs="Calibri"/>
          <w:b/>
          <w:bCs/>
          <w:kern w:val="0"/>
          <w:sz w:val="32"/>
          <w:szCs w:val="32"/>
        </w:rPr>
        <w:t>第</w:t>
      </w:r>
      <w:r>
        <w:rPr>
          <w:rFonts w:hint="eastAsia" w:ascii="仿宋_GB2312" w:hAnsi="Calibri" w:eastAsia="仿宋_GB2312" w:cs="Calibri"/>
          <w:b/>
          <w:bCs/>
          <w:kern w:val="0"/>
          <w:sz w:val="32"/>
          <w:szCs w:val="32"/>
        </w:rPr>
        <w:t>八</w:t>
      </w:r>
      <w:r>
        <w:rPr>
          <w:rFonts w:ascii="仿宋_GB2312" w:hAnsi="Calibri" w:eastAsia="仿宋_GB2312" w:cs="Calibri"/>
          <w:b/>
          <w:bCs/>
          <w:kern w:val="0"/>
          <w:sz w:val="32"/>
          <w:szCs w:val="32"/>
        </w:rPr>
        <w:t>条</w:t>
      </w:r>
      <w:r>
        <w:rPr>
          <w:rFonts w:ascii="仿宋_GB2312" w:hAnsi="Calibri" w:eastAsia="仿宋_GB2312" w:cs="Calibri"/>
          <w:kern w:val="0"/>
          <w:sz w:val="32"/>
          <w:szCs w:val="32"/>
        </w:rPr>
        <w:t xml:space="preserve"> 文件制作规范</w:t>
      </w:r>
    </w:p>
    <w:p>
      <w:pPr>
        <w:spacing w:line="360" w:lineRule="auto"/>
        <w:ind w:firstLine="640" w:firstLineChars="200"/>
        <w:rPr>
          <w:rFonts w:ascii="仿宋_GB2312" w:hAnsi="Calibri" w:eastAsia="仿宋_GB2312" w:cs="Calibri"/>
          <w:kern w:val="0"/>
          <w:sz w:val="32"/>
          <w:szCs w:val="32"/>
        </w:rPr>
      </w:pPr>
      <w:r>
        <w:rPr>
          <w:rFonts w:hint="eastAsia" w:ascii="仿宋_GB2312" w:hAnsi="Calibri" w:eastAsia="仿宋_GB2312" w:cs="Calibri"/>
          <w:sz w:val="32"/>
          <w:szCs w:val="32"/>
        </w:rPr>
        <w:t>（一）</w:t>
      </w:r>
      <w:r>
        <w:rPr>
          <w:rFonts w:hint="eastAsia" w:ascii="仿宋_GB2312" w:hAnsi="Calibri" w:eastAsia="仿宋_GB2312" w:cs="Calibri"/>
          <w:kern w:val="0"/>
          <w:sz w:val="32"/>
          <w:szCs w:val="32"/>
        </w:rPr>
        <w:t>保险销售行为现场同步录音录像按保单逐份录制，每份保单的录音录像应一次性录制完成并生成独立的录音录像文件。</w:t>
      </w:r>
    </w:p>
    <w:p>
      <w:pPr>
        <w:spacing w:line="360" w:lineRule="auto"/>
        <w:ind w:firstLine="640" w:firstLineChars="200"/>
        <w:rPr>
          <w:rFonts w:ascii="仿宋_GB2312" w:hAnsi="Calibri" w:eastAsia="仿宋_GB2312" w:cs="Calibri"/>
          <w:kern w:val="0"/>
          <w:sz w:val="32"/>
          <w:szCs w:val="32"/>
        </w:rPr>
      </w:pPr>
      <w:r>
        <w:rPr>
          <w:rFonts w:ascii="仿宋_GB2312" w:hAnsi="Calibri" w:eastAsia="仿宋_GB2312" w:cs="Calibri"/>
          <w:sz w:val="32"/>
          <w:szCs w:val="32"/>
        </w:rPr>
        <w:t>（二）</w:t>
      </w:r>
      <w:r>
        <w:rPr>
          <w:rFonts w:hint="eastAsia" w:ascii="仿宋_GB2312" w:hAnsi="Calibri" w:eastAsia="仿宋_GB2312" w:cs="Calibri"/>
          <w:kern w:val="0"/>
          <w:sz w:val="32"/>
          <w:szCs w:val="32"/>
        </w:rPr>
        <w:t>对同一客户同时销售多份保单的，可一次性录制完成并生成一份录音录像文件，相同用语可以只录制一次，但需确保每份保单的录音录像内容均符合规定。</w:t>
      </w:r>
    </w:p>
    <w:p>
      <w:pPr>
        <w:spacing w:line="360" w:lineRule="auto"/>
        <w:ind w:firstLine="643" w:firstLineChars="200"/>
        <w:rPr>
          <w:rFonts w:ascii="仿宋_GB2312" w:hAnsi="Calibri" w:eastAsia="仿宋_GB2312" w:cs="Calibri"/>
          <w:sz w:val="32"/>
          <w:szCs w:val="32"/>
        </w:rPr>
      </w:pPr>
      <w:bookmarkStart w:id="23" w:name="OLE_LINK47"/>
      <w:r>
        <w:rPr>
          <w:rFonts w:ascii="仿宋_GB2312" w:hAnsi="Calibri" w:eastAsia="仿宋_GB2312" w:cs="Calibri"/>
          <w:b/>
          <w:bCs/>
          <w:sz w:val="32"/>
          <w:szCs w:val="32"/>
        </w:rPr>
        <w:t>第</w:t>
      </w:r>
      <w:r>
        <w:rPr>
          <w:rFonts w:hint="eastAsia" w:ascii="仿宋_GB2312" w:hAnsi="Calibri" w:eastAsia="仿宋_GB2312" w:cs="Calibri"/>
          <w:b/>
          <w:bCs/>
          <w:sz w:val="32"/>
          <w:szCs w:val="32"/>
        </w:rPr>
        <w:t>九</w:t>
      </w:r>
      <w:r>
        <w:rPr>
          <w:rFonts w:ascii="仿宋_GB2312" w:hAnsi="Calibri" w:eastAsia="仿宋_GB2312" w:cs="Calibri"/>
          <w:b/>
          <w:bCs/>
          <w:sz w:val="32"/>
          <w:szCs w:val="32"/>
        </w:rPr>
        <w:t xml:space="preserve">条 </w:t>
      </w:r>
      <w:r>
        <w:rPr>
          <w:rFonts w:ascii="仿宋_GB2312" w:hAnsi="Calibri" w:eastAsia="仿宋_GB2312" w:cs="Calibri"/>
          <w:sz w:val="32"/>
          <w:szCs w:val="32"/>
        </w:rPr>
        <w:t>双录资料管理与抽检机制</w:t>
      </w:r>
    </w:p>
    <w:p>
      <w:pPr>
        <w:spacing w:line="360" w:lineRule="auto"/>
        <w:ind w:firstLine="640" w:firstLineChars="200"/>
        <w:rPr>
          <w:rFonts w:ascii="仿宋_GB2312" w:hAnsi="Calibri" w:eastAsia="仿宋_GB2312" w:cs="Calibri"/>
          <w:b w:val="0"/>
          <w:bCs w:val="0"/>
          <w:sz w:val="32"/>
          <w:szCs w:val="32"/>
        </w:rPr>
      </w:pPr>
      <w:r>
        <w:rPr>
          <w:rFonts w:ascii="仿宋_GB2312" w:hAnsi="Calibri" w:eastAsia="仿宋_GB2312" w:cs="Calibri"/>
          <w:sz w:val="32"/>
          <w:szCs w:val="32"/>
        </w:rPr>
        <w:t>（一）</w:t>
      </w:r>
      <w:r>
        <w:rPr>
          <w:rFonts w:ascii="仿宋_GB2312" w:hAnsi="Calibri" w:eastAsia="仿宋_GB2312" w:cs="Calibri"/>
          <w:b w:val="0"/>
          <w:bCs w:val="0"/>
          <w:sz w:val="32"/>
          <w:szCs w:val="32"/>
        </w:rPr>
        <w:t>资料上传与存储要求</w:t>
      </w:r>
    </w:p>
    <w:p>
      <w:pPr>
        <w:spacing w:line="360" w:lineRule="auto"/>
        <w:ind w:firstLine="640" w:firstLineChars="200"/>
        <w:rPr>
          <w:rFonts w:ascii="仿宋_GB2312" w:hAnsi="Calibri" w:eastAsia="仿宋_GB2312" w:cs="Calibri"/>
          <w:b w:val="0"/>
          <w:bCs w:val="0"/>
          <w:sz w:val="32"/>
          <w:szCs w:val="32"/>
        </w:rPr>
      </w:pPr>
      <w:r>
        <w:rPr>
          <w:rFonts w:ascii="仿宋_GB2312" w:hAnsi="Calibri" w:eastAsia="仿宋_GB2312" w:cs="Calibri"/>
          <w:b w:val="0"/>
          <w:bCs w:val="0"/>
          <w:sz w:val="32"/>
          <w:szCs w:val="32"/>
        </w:rPr>
        <w:t>保险销售人员在完成双录后，应在当日内将音视频资料通过系统上传至</w:t>
      </w:r>
      <w:r>
        <w:rPr>
          <w:rFonts w:hint="eastAsia" w:ascii="仿宋_GB2312" w:hAnsi="Calibri" w:eastAsia="仿宋_GB2312" w:cs="Calibri"/>
          <w:b w:val="0"/>
          <w:bCs w:val="0"/>
          <w:sz w:val="32"/>
          <w:szCs w:val="32"/>
        </w:rPr>
        <w:t>江苏农商联合银行</w:t>
      </w:r>
      <w:r>
        <w:rPr>
          <w:rFonts w:ascii="仿宋_GB2312" w:hAnsi="Calibri" w:eastAsia="仿宋_GB2312" w:cs="Calibri"/>
          <w:b w:val="0"/>
          <w:bCs w:val="0"/>
          <w:sz w:val="32"/>
          <w:szCs w:val="32"/>
        </w:rPr>
        <w:t>统一保险双录资料管理平台</w:t>
      </w:r>
      <w:r>
        <w:rPr>
          <w:rFonts w:hint="eastAsia" w:ascii="仿宋_GB2312" w:hAnsi="Calibri" w:eastAsia="仿宋_GB2312" w:cs="Calibri"/>
          <w:b w:val="0"/>
          <w:bCs w:val="0"/>
          <w:sz w:val="32"/>
          <w:szCs w:val="32"/>
        </w:rPr>
        <w:t>，</w:t>
      </w:r>
      <w:r>
        <w:rPr>
          <w:rFonts w:ascii="仿宋_GB2312" w:hAnsi="Calibri" w:eastAsia="仿宋_GB2312" w:cs="Calibri"/>
          <w:b w:val="0"/>
          <w:bCs w:val="0"/>
          <w:sz w:val="32"/>
          <w:szCs w:val="32"/>
        </w:rPr>
        <w:t>不得延迟、遗漏或错传。</w:t>
      </w:r>
    </w:p>
    <w:p>
      <w:pPr>
        <w:spacing w:line="360" w:lineRule="auto"/>
        <w:ind w:firstLine="640" w:firstLineChars="200"/>
        <w:rPr>
          <w:rFonts w:ascii="仿宋_GB2312" w:hAnsi="Calibri" w:eastAsia="仿宋_GB2312" w:cs="Calibri"/>
          <w:b w:val="0"/>
          <w:bCs w:val="0"/>
          <w:sz w:val="32"/>
          <w:szCs w:val="32"/>
        </w:rPr>
      </w:pPr>
      <w:r>
        <w:rPr>
          <w:rFonts w:ascii="仿宋_GB2312" w:hAnsi="Calibri" w:eastAsia="仿宋_GB2312" w:cs="Calibri"/>
          <w:b w:val="0"/>
          <w:bCs w:val="0"/>
          <w:sz w:val="32"/>
          <w:szCs w:val="32"/>
        </w:rPr>
        <w:t>（二）资料保存期限</w:t>
      </w:r>
    </w:p>
    <w:p>
      <w:pPr>
        <w:spacing w:line="360" w:lineRule="auto"/>
        <w:ind w:firstLine="640" w:firstLineChars="200"/>
        <w:rPr>
          <w:rFonts w:ascii="仿宋_GB2312" w:hAnsi="Calibri" w:eastAsia="仿宋_GB2312" w:cs="Calibri"/>
          <w:b w:val="0"/>
          <w:bCs w:val="0"/>
          <w:sz w:val="32"/>
          <w:szCs w:val="32"/>
        </w:rPr>
      </w:pPr>
      <w:r>
        <w:rPr>
          <w:rFonts w:ascii="仿宋_GB2312" w:hAnsi="Calibri" w:eastAsia="仿宋_GB2312" w:cs="Calibri"/>
          <w:b w:val="0"/>
          <w:bCs w:val="0"/>
          <w:sz w:val="32"/>
          <w:szCs w:val="32"/>
        </w:rPr>
        <w:t>所有保险销售双录资料应自投保成功之日起，至少保存10年；如发生投诉、纠纷等情况，资料应至少保存至相关事项处理终结之日起满</w:t>
      </w:r>
      <w:r>
        <w:rPr>
          <w:rFonts w:hint="eastAsia" w:ascii="仿宋_GB2312" w:hAnsi="Calibri" w:eastAsia="仿宋_GB2312" w:cs="Calibri"/>
          <w:b w:val="0"/>
          <w:bCs w:val="0"/>
          <w:sz w:val="32"/>
          <w:szCs w:val="32"/>
        </w:rPr>
        <w:t>2</w:t>
      </w:r>
      <w:r>
        <w:rPr>
          <w:rFonts w:ascii="仿宋_GB2312" w:hAnsi="Calibri" w:eastAsia="仿宋_GB2312" w:cs="Calibri"/>
          <w:b w:val="0"/>
          <w:bCs w:val="0"/>
          <w:sz w:val="32"/>
          <w:szCs w:val="32"/>
        </w:rPr>
        <w:t>年。</w:t>
      </w:r>
    </w:p>
    <w:p>
      <w:pPr>
        <w:spacing w:line="360" w:lineRule="auto"/>
        <w:ind w:firstLine="640" w:firstLineChars="200"/>
        <w:rPr>
          <w:rFonts w:ascii="仿宋_GB2312" w:hAnsi="Calibri" w:eastAsia="仿宋_GB2312" w:cs="Calibri"/>
          <w:b w:val="0"/>
          <w:bCs w:val="0"/>
          <w:sz w:val="32"/>
          <w:szCs w:val="32"/>
        </w:rPr>
      </w:pPr>
      <w:r>
        <w:rPr>
          <w:rFonts w:ascii="仿宋_GB2312" w:hAnsi="Calibri" w:eastAsia="仿宋_GB2312" w:cs="Calibri"/>
          <w:b w:val="0"/>
          <w:bCs w:val="0"/>
          <w:sz w:val="32"/>
          <w:szCs w:val="32"/>
        </w:rPr>
        <w:t>（三）资料保密与调用权限</w:t>
      </w:r>
    </w:p>
    <w:p>
      <w:pPr>
        <w:spacing w:line="360" w:lineRule="auto"/>
        <w:ind w:firstLine="640" w:firstLineChars="200"/>
        <w:rPr>
          <w:rFonts w:ascii="仿宋_GB2312" w:hAnsi="Calibri" w:eastAsia="仿宋_GB2312" w:cs="Calibri"/>
          <w:sz w:val="32"/>
          <w:szCs w:val="32"/>
        </w:rPr>
      </w:pPr>
      <w:r>
        <w:rPr>
          <w:rFonts w:ascii="仿宋_GB2312" w:hAnsi="Calibri" w:eastAsia="仿宋_GB2312" w:cs="Calibri"/>
          <w:sz w:val="32"/>
          <w:szCs w:val="32"/>
        </w:rPr>
        <w:t>双录资料仅限本行客户服务、合规检查、</w:t>
      </w:r>
      <w:r>
        <w:rPr>
          <w:rFonts w:hint="eastAsia" w:ascii="仿宋_GB2312" w:hAnsi="Calibri" w:eastAsia="仿宋_GB2312" w:cs="Calibri"/>
          <w:sz w:val="32"/>
          <w:szCs w:val="32"/>
        </w:rPr>
        <w:t>质检、</w:t>
      </w:r>
      <w:r>
        <w:rPr>
          <w:rFonts w:ascii="仿宋_GB2312" w:hAnsi="Calibri" w:eastAsia="仿宋_GB2312" w:cs="Calibri"/>
          <w:sz w:val="32"/>
          <w:szCs w:val="32"/>
        </w:rPr>
        <w:t>内部稽核及监管检查等特定用途使用，非经授权，不得擅自调阅、下载、复制或外传。</w:t>
      </w:r>
    </w:p>
    <w:p>
      <w:pPr>
        <w:spacing w:line="360" w:lineRule="auto"/>
        <w:ind w:firstLine="640" w:firstLineChars="200"/>
        <w:rPr>
          <w:rFonts w:ascii="仿宋_GB2312" w:hAnsi="Calibri" w:eastAsia="仿宋_GB2312" w:cs="Calibri"/>
          <w:sz w:val="32"/>
          <w:szCs w:val="32"/>
        </w:rPr>
      </w:pPr>
      <w:r>
        <w:rPr>
          <w:rFonts w:ascii="仿宋_GB2312" w:hAnsi="Calibri" w:eastAsia="仿宋_GB2312" w:cs="Calibri"/>
          <w:sz w:val="32"/>
          <w:szCs w:val="32"/>
        </w:rPr>
        <w:t>（四）抽检与回看机制</w:t>
      </w:r>
    </w:p>
    <w:p>
      <w:pPr>
        <w:spacing w:line="360" w:lineRule="auto"/>
        <w:ind w:firstLine="640" w:firstLineChars="200"/>
        <w:rPr>
          <w:rFonts w:ascii="仿宋_GB2312" w:hAnsi="Calibri" w:eastAsia="仿宋_GB2312" w:cs="Calibri"/>
          <w:sz w:val="32"/>
          <w:szCs w:val="32"/>
        </w:rPr>
      </w:pPr>
      <w:r>
        <w:rPr>
          <w:rFonts w:ascii="仿宋_GB2312" w:hAnsi="Calibri" w:eastAsia="仿宋_GB2312" w:cs="Calibri"/>
          <w:sz w:val="32"/>
          <w:szCs w:val="32"/>
        </w:rPr>
        <w:t>零售金融部应建立双录资料定期抽检制度，抽检内容包括录制清晰度、流程合规性、提示话术完整性、客户答复情况等。对抽检发现的违规问题，应及时反馈并限期整改，纳入销售人员行为管理档案。</w:t>
      </w:r>
      <w:bookmarkEnd w:id="16"/>
      <w:bookmarkEnd w:id="22"/>
    </w:p>
    <w:p>
      <w:pPr>
        <w:spacing w:line="360" w:lineRule="auto"/>
        <w:ind w:firstLine="643" w:firstLineChars="200"/>
        <w:rPr>
          <w:rFonts w:ascii="仿宋_GB2312" w:hAnsi="Calibri" w:eastAsia="仿宋_GB2312" w:cs="Calibri"/>
          <w:sz w:val="32"/>
          <w:szCs w:val="32"/>
        </w:rPr>
      </w:pPr>
      <w:r>
        <w:rPr>
          <w:rFonts w:hint="eastAsia" w:ascii="仿宋_GB2312" w:hAnsi="Calibri" w:eastAsia="仿宋_GB2312" w:cs="Calibri"/>
          <w:b/>
          <w:bCs/>
          <w:sz w:val="32"/>
          <w:szCs w:val="32"/>
        </w:rPr>
        <w:t>第十条</w:t>
      </w:r>
      <w:r>
        <w:rPr>
          <w:rFonts w:hint="eastAsia" w:ascii="仿宋_GB2312" w:hAnsi="Calibri" w:eastAsia="仿宋_GB2312" w:cs="Calibri"/>
          <w:sz w:val="32"/>
          <w:szCs w:val="32"/>
        </w:rPr>
        <w:t xml:space="preserve"> 责任追究机制</w:t>
      </w:r>
    </w:p>
    <w:p>
      <w:pPr>
        <w:spacing w:line="360" w:lineRule="auto"/>
        <w:ind w:firstLine="640" w:firstLineChars="200"/>
        <w:rPr>
          <w:rFonts w:ascii="仿宋_GB2312" w:hAnsi="Calibri" w:eastAsia="仿宋_GB2312" w:cs="Calibri"/>
          <w:sz w:val="32"/>
          <w:szCs w:val="32"/>
        </w:rPr>
      </w:pPr>
      <w:r>
        <w:rPr>
          <w:rFonts w:ascii="仿宋_GB2312" w:hAnsi="Calibri" w:eastAsia="仿宋_GB2312" w:cs="Calibri"/>
          <w:sz w:val="32"/>
          <w:szCs w:val="32"/>
        </w:rPr>
        <w:t>（一）保险销售人员未按照本指引执行双录相关要求，存在以下情形之一的，视情节轻重，予以提醒谈话、通报批评、暂停销售权限、扣减绩效、取消销售资格等处理：</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1. </w:t>
      </w:r>
      <w:r>
        <w:rPr>
          <w:rFonts w:ascii="仿宋_GB2312" w:hAnsi="Calibri" w:eastAsia="仿宋_GB2312" w:cs="Calibri"/>
          <w:sz w:val="32"/>
          <w:szCs w:val="32"/>
        </w:rPr>
        <w:t>未完成应录制环节音视频资料的；</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2. </w:t>
      </w:r>
      <w:r>
        <w:rPr>
          <w:rFonts w:ascii="仿宋_GB2312" w:hAnsi="Calibri" w:eastAsia="仿宋_GB2312" w:cs="Calibri"/>
          <w:sz w:val="32"/>
          <w:szCs w:val="32"/>
        </w:rPr>
        <w:t>双录过程中存在隐瞒、误导、遗漏重点信息说明的</w:t>
      </w:r>
      <w:r>
        <w:rPr>
          <w:rFonts w:hint="eastAsia" w:ascii="仿宋_GB2312" w:hAnsi="Calibri" w:eastAsia="仿宋_GB2312" w:cs="Calibri"/>
          <w:sz w:val="32"/>
          <w:szCs w:val="32"/>
        </w:rPr>
        <w:t>；</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3. </w:t>
      </w:r>
      <w:r>
        <w:rPr>
          <w:rFonts w:ascii="仿宋_GB2312" w:hAnsi="Calibri" w:eastAsia="仿宋_GB2312" w:cs="Calibri"/>
          <w:sz w:val="32"/>
          <w:szCs w:val="32"/>
        </w:rPr>
        <w:t>视频资料模糊不清、非同框录制、断档缺段、文件错传或缺失的；</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4. </w:t>
      </w:r>
      <w:r>
        <w:rPr>
          <w:rFonts w:ascii="仿宋_GB2312" w:hAnsi="Calibri" w:eastAsia="仿宋_GB2312" w:cs="Calibri"/>
          <w:sz w:val="32"/>
          <w:szCs w:val="32"/>
        </w:rPr>
        <w:t>未上传双录资料或未按时上传至系统的；</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5. </w:t>
      </w:r>
      <w:r>
        <w:rPr>
          <w:rFonts w:ascii="仿宋_GB2312" w:hAnsi="Calibri" w:eastAsia="仿宋_GB2312" w:cs="Calibri"/>
          <w:sz w:val="32"/>
          <w:szCs w:val="32"/>
        </w:rPr>
        <w:t>违规剪辑、删除或拼接录音录像内容的；</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6. </w:t>
      </w:r>
      <w:r>
        <w:rPr>
          <w:rFonts w:ascii="仿宋_GB2312" w:hAnsi="Calibri" w:eastAsia="仿宋_GB2312" w:cs="Calibri"/>
          <w:sz w:val="32"/>
          <w:szCs w:val="32"/>
        </w:rPr>
        <w:t>冒用他人身份、替代客户完成录制流程的；</w:t>
      </w:r>
    </w:p>
    <w:p>
      <w:pPr>
        <w:spacing w:line="360" w:lineRule="auto"/>
        <w:ind w:firstLine="640" w:firstLineChars="200"/>
        <w:rPr>
          <w:rFonts w:ascii="仿宋_GB2312" w:hAnsi="Calibri" w:eastAsia="仿宋_GB2312" w:cs="Calibri"/>
          <w:sz w:val="32"/>
          <w:szCs w:val="32"/>
        </w:rPr>
      </w:pPr>
      <w:r>
        <w:rPr>
          <w:rFonts w:hint="eastAsia" w:ascii="仿宋_GB2312" w:hAnsi="Calibri" w:eastAsia="仿宋_GB2312" w:cs="Calibri"/>
          <w:sz w:val="32"/>
          <w:szCs w:val="32"/>
        </w:rPr>
        <w:t xml:space="preserve">7. </w:t>
      </w:r>
      <w:r>
        <w:rPr>
          <w:rFonts w:ascii="仿宋_GB2312" w:hAnsi="Calibri" w:eastAsia="仿宋_GB2312" w:cs="Calibri"/>
          <w:sz w:val="32"/>
          <w:szCs w:val="32"/>
        </w:rPr>
        <w:t>其他违反监管要求或本行双录管理规定的行为。</w:t>
      </w:r>
    </w:p>
    <w:p>
      <w:pPr>
        <w:spacing w:line="360" w:lineRule="auto"/>
        <w:ind w:firstLine="640" w:firstLineChars="200"/>
        <w:rPr>
          <w:rFonts w:ascii="仿宋_GB2312" w:hAnsi="Calibri" w:eastAsia="仿宋_GB2312" w:cs="Calibri"/>
          <w:sz w:val="32"/>
          <w:szCs w:val="32"/>
        </w:rPr>
      </w:pPr>
      <w:r>
        <w:rPr>
          <w:rFonts w:ascii="仿宋_GB2312" w:hAnsi="Calibri" w:eastAsia="仿宋_GB2312" w:cs="Calibri"/>
          <w:sz w:val="32"/>
          <w:szCs w:val="32"/>
        </w:rPr>
        <w:t>（二）</w:t>
      </w:r>
      <w:r>
        <w:rPr>
          <w:rFonts w:hint="eastAsia" w:ascii="仿宋_GB2312" w:hAnsi="Calibri" w:eastAsia="仿宋_GB2312" w:cs="Calibri"/>
          <w:sz w:val="32"/>
          <w:szCs w:val="32"/>
        </w:rPr>
        <w:t>保险销售人员是合规双录第一责任人，</w:t>
      </w:r>
      <w:r>
        <w:rPr>
          <w:rFonts w:ascii="仿宋_GB2312" w:hAnsi="Calibri" w:eastAsia="仿宋_GB2312" w:cs="Calibri"/>
          <w:sz w:val="32"/>
          <w:szCs w:val="32"/>
        </w:rPr>
        <w:t>营业网点管理人员对本辖区双录管理负有</w:t>
      </w:r>
      <w:r>
        <w:rPr>
          <w:rFonts w:hint="eastAsia" w:ascii="仿宋_GB2312" w:hAnsi="Calibri" w:eastAsia="仿宋_GB2312" w:cs="Calibri"/>
          <w:sz w:val="32"/>
          <w:szCs w:val="32"/>
        </w:rPr>
        <w:t>连带责任</w:t>
      </w:r>
      <w:r>
        <w:rPr>
          <w:rFonts w:ascii="仿宋_GB2312" w:hAnsi="Calibri" w:eastAsia="仿宋_GB2312" w:cs="Calibri"/>
          <w:sz w:val="32"/>
          <w:szCs w:val="32"/>
        </w:rPr>
        <w:t>。</w:t>
      </w:r>
    </w:p>
    <w:p>
      <w:pPr>
        <w:spacing w:line="360" w:lineRule="auto"/>
        <w:ind w:firstLine="640" w:firstLineChars="200"/>
        <w:rPr>
          <w:rFonts w:ascii="仿宋_GB2312" w:hAnsi="Calibri" w:eastAsia="仿宋_GB2312" w:cs="Calibri"/>
          <w:sz w:val="32"/>
          <w:szCs w:val="32"/>
        </w:rPr>
      </w:pPr>
      <w:r>
        <w:rPr>
          <w:rFonts w:ascii="仿宋_GB2312" w:hAnsi="Calibri" w:eastAsia="仿宋_GB2312" w:cs="Calibri"/>
          <w:sz w:val="32"/>
          <w:szCs w:val="32"/>
        </w:rPr>
        <w:t>（三）对因双录资料缺失、违规录制或未能有效说明产品信息等问题引发客户投诉、退保、理赔纠纷，造成客户利益损失或声誉风险的，将视后果追究相关人员及单位责任</w:t>
      </w:r>
      <w:r>
        <w:rPr>
          <w:rFonts w:hint="eastAsia" w:ascii="仿宋_GB2312" w:hAnsi="Calibri" w:eastAsia="仿宋_GB2312" w:cs="Calibri"/>
          <w:sz w:val="32"/>
          <w:szCs w:val="32"/>
        </w:rPr>
        <w:t>。</w:t>
      </w:r>
      <w:bookmarkEnd w:id="3"/>
      <w:bookmarkEnd w:id="17"/>
      <w:bookmarkEnd w:id="23"/>
    </w:p>
    <w:sectPr>
      <w:headerReference r:id="rId5" w:type="default"/>
      <w:footerReference r:id="rId6" w:type="default"/>
      <w:pgSz w:w="11906" w:h="16838"/>
      <w:pgMar w:top="1440" w:right="1797" w:bottom="1440"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bookmarkStart w:id="24" w:name="_GoBack"/>
    <w:bookmarkEnd w:id="24"/>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DD6897"/>
    <w:multiLevelType w:val="multilevel"/>
    <w:tmpl w:val="71DD6897"/>
    <w:lvl w:ilvl="0" w:tentative="0">
      <w:start w:val="3"/>
      <w:numFmt w:val="decimal"/>
      <w:lvlText w:val="%1."/>
      <w:lvlJc w:val="left"/>
      <w:pPr>
        <w:ind w:left="1000" w:hanging="36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F83"/>
    <w:rsid w:val="00020F9B"/>
    <w:rsid w:val="00086A58"/>
    <w:rsid w:val="0009107B"/>
    <w:rsid w:val="000B4E46"/>
    <w:rsid w:val="000B5B1D"/>
    <w:rsid w:val="000C34EC"/>
    <w:rsid w:val="000E38E5"/>
    <w:rsid w:val="000F60BC"/>
    <w:rsid w:val="00116306"/>
    <w:rsid w:val="00163AE3"/>
    <w:rsid w:val="00176B81"/>
    <w:rsid w:val="00192CD4"/>
    <w:rsid w:val="001965E0"/>
    <w:rsid w:val="00276375"/>
    <w:rsid w:val="002D0C9C"/>
    <w:rsid w:val="002F6B94"/>
    <w:rsid w:val="003039CA"/>
    <w:rsid w:val="0030490D"/>
    <w:rsid w:val="00341E6D"/>
    <w:rsid w:val="003841A4"/>
    <w:rsid w:val="003C7ECE"/>
    <w:rsid w:val="003E7B08"/>
    <w:rsid w:val="003F1036"/>
    <w:rsid w:val="003F3CA1"/>
    <w:rsid w:val="00437497"/>
    <w:rsid w:val="00461CE6"/>
    <w:rsid w:val="00484DD7"/>
    <w:rsid w:val="004868A1"/>
    <w:rsid w:val="004B37F5"/>
    <w:rsid w:val="004C0204"/>
    <w:rsid w:val="005148B6"/>
    <w:rsid w:val="00563AEC"/>
    <w:rsid w:val="005D75D8"/>
    <w:rsid w:val="00614B0B"/>
    <w:rsid w:val="00621284"/>
    <w:rsid w:val="006326D7"/>
    <w:rsid w:val="00634777"/>
    <w:rsid w:val="00650D5B"/>
    <w:rsid w:val="00651848"/>
    <w:rsid w:val="00671D88"/>
    <w:rsid w:val="006950C3"/>
    <w:rsid w:val="006E37DD"/>
    <w:rsid w:val="006F0A9C"/>
    <w:rsid w:val="00722491"/>
    <w:rsid w:val="00727A9E"/>
    <w:rsid w:val="007354DB"/>
    <w:rsid w:val="00760608"/>
    <w:rsid w:val="0079071E"/>
    <w:rsid w:val="007914A5"/>
    <w:rsid w:val="007B52B1"/>
    <w:rsid w:val="007B607B"/>
    <w:rsid w:val="007D3C36"/>
    <w:rsid w:val="007D403E"/>
    <w:rsid w:val="007D5575"/>
    <w:rsid w:val="00807A4F"/>
    <w:rsid w:val="00853079"/>
    <w:rsid w:val="00865472"/>
    <w:rsid w:val="00872F1C"/>
    <w:rsid w:val="008F7578"/>
    <w:rsid w:val="009C53CB"/>
    <w:rsid w:val="00A00D54"/>
    <w:rsid w:val="00A011DD"/>
    <w:rsid w:val="00A05777"/>
    <w:rsid w:val="00A274EA"/>
    <w:rsid w:val="00A37DBF"/>
    <w:rsid w:val="00A62F42"/>
    <w:rsid w:val="00AB36E0"/>
    <w:rsid w:val="00AF07EC"/>
    <w:rsid w:val="00AF4C37"/>
    <w:rsid w:val="00B14262"/>
    <w:rsid w:val="00B45BB5"/>
    <w:rsid w:val="00B62569"/>
    <w:rsid w:val="00B91918"/>
    <w:rsid w:val="00BC61C3"/>
    <w:rsid w:val="00BD0061"/>
    <w:rsid w:val="00BF5545"/>
    <w:rsid w:val="00CA37D7"/>
    <w:rsid w:val="00CD6F83"/>
    <w:rsid w:val="00D32E86"/>
    <w:rsid w:val="00D44FE6"/>
    <w:rsid w:val="00D70E34"/>
    <w:rsid w:val="00D92EEE"/>
    <w:rsid w:val="00DD7ABC"/>
    <w:rsid w:val="00E112A1"/>
    <w:rsid w:val="00E174CC"/>
    <w:rsid w:val="00E31C35"/>
    <w:rsid w:val="00E64ECF"/>
    <w:rsid w:val="00E84636"/>
    <w:rsid w:val="00EE3CA1"/>
    <w:rsid w:val="00EF2DD4"/>
    <w:rsid w:val="00F029D3"/>
    <w:rsid w:val="00F031CB"/>
    <w:rsid w:val="00F267F3"/>
    <w:rsid w:val="00F2756A"/>
    <w:rsid w:val="00F648C3"/>
    <w:rsid w:val="00FA3E3A"/>
    <w:rsid w:val="00FC3593"/>
    <w:rsid w:val="00FD51ED"/>
    <w:rsid w:val="00FF1B92"/>
    <w:rsid w:val="00FF5B71"/>
    <w:rsid w:val="19034F57"/>
    <w:rsid w:val="69B64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napToGrid w:val="0"/>
      <w:jc w:val="left"/>
    </w:pPr>
    <w:rPr>
      <w:sz w:val="18"/>
      <w:szCs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18">
    <w:name w:val="Strong"/>
    <w:basedOn w:val="17"/>
    <w:qFormat/>
    <w:uiPriority w:val="22"/>
    <w:rPr>
      <w:b/>
      <w:bCs/>
    </w:rPr>
  </w:style>
  <w:style w:type="character" w:customStyle="1" w:styleId="19">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7"/>
    <w:link w:val="5"/>
    <w:semiHidden/>
    <w:uiPriority w:val="9"/>
    <w:rPr>
      <w:rFonts w:cstheme="majorBidi"/>
      <w:color w:val="104862" w:themeColor="accent1" w:themeShade="BF"/>
      <w:sz w:val="28"/>
      <w:szCs w:val="28"/>
    </w:rPr>
  </w:style>
  <w:style w:type="character" w:customStyle="1" w:styleId="23">
    <w:name w:val="标题 5 字符"/>
    <w:basedOn w:val="17"/>
    <w:link w:val="6"/>
    <w:semiHidden/>
    <w:qFormat/>
    <w:uiPriority w:val="9"/>
    <w:rPr>
      <w:rFonts w:cstheme="majorBidi"/>
      <w:color w:val="104862" w:themeColor="accent1" w:themeShade="BF"/>
      <w:sz w:val="24"/>
    </w:rPr>
  </w:style>
  <w:style w:type="character" w:customStyle="1" w:styleId="24">
    <w:name w:val="标题 6 字符"/>
    <w:basedOn w:val="17"/>
    <w:link w:val="7"/>
    <w:semiHidden/>
    <w:qFormat/>
    <w:uiPriority w:val="9"/>
    <w:rPr>
      <w:rFonts w:cstheme="majorBidi"/>
      <w:b/>
      <w:bCs/>
      <w:color w:val="104862"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7"/>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7"/>
    <w:link w:val="34"/>
    <w:qFormat/>
    <w:uiPriority w:val="30"/>
    <w:rPr>
      <w:i/>
      <w:iCs/>
      <w:color w:val="104862" w:themeColor="accent1" w:themeShade="BF"/>
    </w:rPr>
  </w:style>
  <w:style w:type="character" w:customStyle="1" w:styleId="36">
    <w:name w:val="Intense Reference"/>
    <w:basedOn w:val="17"/>
    <w:qFormat/>
    <w:uiPriority w:val="32"/>
    <w:rPr>
      <w:b/>
      <w:bCs/>
      <w:smallCaps/>
      <w:color w:val="104862" w:themeColor="accent1" w:themeShade="BF"/>
      <w:spacing w:val="5"/>
    </w:rPr>
  </w:style>
  <w:style w:type="character" w:customStyle="1" w:styleId="37">
    <w:name w:val="页眉 字符"/>
    <w:basedOn w:val="17"/>
    <w:link w:val="12"/>
    <w:qFormat/>
    <w:uiPriority w:val="99"/>
    <w:rPr>
      <w:sz w:val="18"/>
      <w:szCs w:val="18"/>
      <w14:ligatures w14:val="none"/>
    </w:rPr>
  </w:style>
  <w:style w:type="character" w:customStyle="1" w:styleId="38">
    <w:name w:val="页脚 字符"/>
    <w:basedOn w:val="17"/>
    <w:link w:val="11"/>
    <w:uiPriority w:val="99"/>
    <w:rPr>
      <w:sz w:val="18"/>
      <w:szCs w:val="18"/>
      <w14:ligatures w14:val="none"/>
    </w:rPr>
  </w:style>
  <w:style w:type="paragraph" w:customStyle="1" w:styleId="39">
    <w:name w:val="71e7dc79-1ff7-45e8-997d-0ebda3762b91"/>
    <w:basedOn w:val="3"/>
    <w:next w:val="40"/>
    <w:link w:val="41"/>
    <w:qFormat/>
    <w:uiPriority w:val="0"/>
    <w:pPr>
      <w:adjustRightInd w:val="0"/>
      <w:spacing w:before="0" w:after="0" w:line="288" w:lineRule="auto"/>
      <w:jc w:val="left"/>
    </w:pPr>
    <w:rPr>
      <w:rFonts w:ascii="微软雅黑" w:hAnsi="微软雅黑" w:eastAsia="微软雅黑" w:cs="Calibri"/>
      <w:b/>
      <w:bCs/>
      <w:color w:val="000000"/>
      <w:kern w:val="0"/>
      <w:sz w:val="28"/>
      <w:szCs w:val="32"/>
    </w:rPr>
  </w:style>
  <w:style w:type="paragraph" w:customStyle="1" w:styleId="40">
    <w:name w:val="acbfdd8b-e11b-4d36-88ff-6049b138f862"/>
    <w:basedOn w:val="1"/>
    <w:link w:val="42"/>
    <w:qFormat/>
    <w:uiPriority w:val="0"/>
    <w:pPr>
      <w:adjustRightInd w:val="0"/>
      <w:spacing w:line="288" w:lineRule="auto"/>
      <w:jc w:val="left"/>
    </w:pPr>
    <w:rPr>
      <w:rFonts w:ascii="微软雅黑" w:hAnsi="微软雅黑" w:eastAsia="微软雅黑" w:cs="Calibri"/>
      <w:bCs/>
      <w:color w:val="000000"/>
      <w:kern w:val="0"/>
      <w:sz w:val="22"/>
      <w:szCs w:val="32"/>
    </w:rPr>
  </w:style>
  <w:style w:type="character" w:customStyle="1" w:styleId="41">
    <w:name w:val="71e7dc79-1ff7-45e8-997d-0ebda3762b91 字符"/>
    <w:basedOn w:val="17"/>
    <w:link w:val="39"/>
    <w:qFormat/>
    <w:uiPriority w:val="0"/>
    <w:rPr>
      <w:rFonts w:ascii="微软雅黑" w:hAnsi="微软雅黑" w:eastAsia="微软雅黑" w:cs="Calibri"/>
      <w:b/>
      <w:bCs/>
      <w:color w:val="000000"/>
      <w:kern w:val="0"/>
      <w:sz w:val="28"/>
      <w:szCs w:val="32"/>
      <w14:ligatures w14:val="none"/>
    </w:rPr>
  </w:style>
  <w:style w:type="character" w:customStyle="1" w:styleId="42">
    <w:name w:val="acbfdd8b-e11b-4d36-88ff-6049b138f862 字符"/>
    <w:basedOn w:val="17"/>
    <w:link w:val="40"/>
    <w:qFormat/>
    <w:uiPriority w:val="0"/>
    <w:rPr>
      <w:rFonts w:ascii="微软雅黑" w:hAnsi="微软雅黑" w:eastAsia="微软雅黑" w:cs="Calibri"/>
      <w:bCs/>
      <w:color w:val="000000"/>
      <w:kern w:val="0"/>
      <w:szCs w:val="32"/>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1342</Words>
  <Characters>1342</Characters>
  <Lines>67</Lines>
  <Paragraphs>58</Paragraphs>
  <TotalTime>542</TotalTime>
  <ScaleCrop>false</ScaleCrop>
  <LinksUpToDate>false</LinksUpToDate>
  <CharactersWithSpaces>2626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2025-07-07T14:43:00Z</dcterms:created>
  <dc:creator>Qing Chen</dc:creator>
  <cp:lastModifiedBy>张瑞</cp:lastModifiedBy>
  <dcterms:modified xsi:type="dcterms:W3CDTF">2025-07-18T09:11:26Z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B5D675D3AC8F4176832A58AFFC58B3E5</vt:lpwstr>
  </property>
</Properties>
</file>