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ascii="仿宋_GB2312" w:hAnsi="Calibri" w:eastAsia="仿宋_GB2312" w:cs="Calibri"/>
          <w:b/>
          <w:bCs/>
          <w:kern w:val="0"/>
          <w:sz w:val="32"/>
          <w:szCs w:val="32"/>
        </w:rPr>
      </w:pPr>
      <w:bookmarkStart w:id="0" w:name="OLE_LINK37"/>
      <w:r>
        <w:rPr>
          <w:rFonts w:hint="eastAsia" w:ascii="仿宋_GB2312" w:hAnsi="Calibri" w:eastAsia="仿宋_GB2312" w:cs="Calibri"/>
          <w:b/>
          <w:bCs/>
          <w:kern w:val="0"/>
          <w:sz w:val="32"/>
          <w:szCs w:val="32"/>
        </w:rPr>
        <w:t>附件4</w:t>
      </w:r>
      <w:bookmarkStart w:id="1" w:name="OLE_LINK18"/>
      <w:bookmarkStart w:id="2" w:name="_Hlk202820854"/>
      <w:r>
        <w:rPr>
          <w:rFonts w:hint="eastAsia" w:ascii="仿宋_GB2312" w:hAnsi="Calibri" w:eastAsia="仿宋_GB2312" w:cs="Calibri"/>
          <w:b/>
          <w:bCs/>
          <w:kern w:val="0"/>
          <w:sz w:val="32"/>
          <w:szCs w:val="32"/>
        </w:rPr>
        <w:t>：</w:t>
      </w:r>
    </w:p>
    <w:p>
      <w:pPr>
        <w:spacing w:line="360" w:lineRule="auto"/>
        <w:jc w:val="center"/>
        <w:rPr>
          <w:rFonts w:ascii="仿宋_GB2312" w:hAnsi="Calibri" w:eastAsia="仿宋_GB2312" w:cs="Calibri"/>
          <w:b/>
          <w:bCs/>
          <w:kern w:val="0"/>
          <w:sz w:val="32"/>
          <w:szCs w:val="32"/>
        </w:rPr>
      </w:pPr>
      <w:bookmarkStart w:id="3" w:name="_Hlk203019133"/>
      <w:r>
        <w:rPr>
          <w:rFonts w:hint="eastAsia" w:ascii="仿宋_GB2312" w:hAnsi="Calibri" w:eastAsia="仿宋_GB2312" w:cs="Calibri"/>
          <w:b/>
          <w:bCs/>
          <w:kern w:val="0"/>
          <w:sz w:val="32"/>
          <w:szCs w:val="32"/>
        </w:rPr>
        <w:t>沛县农商银行保险代理业务客户投诉</w:t>
      </w:r>
      <w:bookmarkEnd w:id="1"/>
      <w:r>
        <w:rPr>
          <w:rFonts w:hint="eastAsia" w:ascii="仿宋_GB2312" w:hAnsi="Calibri" w:eastAsia="仿宋_GB2312" w:cs="Calibri"/>
          <w:b/>
          <w:bCs/>
          <w:kern w:val="0"/>
          <w:sz w:val="32"/>
          <w:szCs w:val="32"/>
          <w:lang w:val="en-US" w:eastAsia="zh-CN"/>
        </w:rPr>
        <w:t>处理</w:t>
      </w:r>
      <w:r>
        <w:rPr>
          <w:rFonts w:hint="eastAsia" w:ascii="仿宋_GB2312" w:hAnsi="Calibri" w:eastAsia="仿宋_GB2312" w:cs="Calibri"/>
          <w:b/>
          <w:bCs/>
          <w:kern w:val="0"/>
          <w:sz w:val="32"/>
          <w:szCs w:val="32"/>
        </w:rPr>
        <w:t>管理规定</w:t>
      </w:r>
    </w:p>
    <w:bookmarkEnd w:id="0"/>
    <w:bookmarkEnd w:id="2"/>
    <w:bookmarkEnd w:id="3"/>
    <w:p>
      <w:pPr>
        <w:spacing w:line="360" w:lineRule="auto"/>
        <w:ind w:firstLine="643" w:firstLineChars="200"/>
        <w:rPr>
          <w:rFonts w:ascii="仿宋_GB2312" w:hAnsi="Calibri" w:eastAsia="仿宋_GB2312" w:cs="Calibri"/>
          <w:kern w:val="0"/>
          <w:sz w:val="32"/>
          <w:szCs w:val="32"/>
        </w:rPr>
      </w:pPr>
      <w:bookmarkStart w:id="4" w:name="OLE_LINK48"/>
      <w:r>
        <w:rPr>
          <w:rFonts w:ascii="仿宋_GB2312" w:hAnsi="Calibri" w:eastAsia="仿宋_GB2312" w:cs="Calibri"/>
          <w:b/>
          <w:bCs/>
          <w:kern w:val="0"/>
          <w:sz w:val="32"/>
          <w:szCs w:val="32"/>
        </w:rPr>
        <w:t>第一条</w:t>
      </w:r>
      <w:r>
        <w:rPr>
          <w:rFonts w:ascii="仿宋_GB2312" w:hAnsi="Calibri" w:eastAsia="仿宋_GB2312" w:cs="Calibri"/>
          <w:kern w:val="0"/>
          <w:sz w:val="32"/>
          <w:szCs w:val="32"/>
        </w:rPr>
        <w:t xml:space="preserve"> 为加强本行保险代理业务客户投诉处理工作的规范性与时效性，进一步提升保险销售服务质量，切实保护消费者合法权益，依据国家监管规定，特制定本规定，作为《沛县农村商业银行股份有限公司保险代理业务规范管理规定》的配套附件执行。</w:t>
      </w:r>
    </w:p>
    <w:p>
      <w:pPr>
        <w:spacing w:line="360" w:lineRule="auto"/>
        <w:ind w:firstLine="643" w:firstLineChars="200"/>
        <w:rPr>
          <w:rFonts w:ascii="仿宋_GB2312" w:hAnsi="Calibri" w:eastAsia="仿宋_GB2312" w:cs="Calibri"/>
          <w:sz w:val="32"/>
          <w:szCs w:val="32"/>
        </w:rPr>
      </w:pPr>
      <w:r>
        <w:rPr>
          <w:rFonts w:ascii="仿宋_GB2312" w:hAnsi="Calibri" w:eastAsia="仿宋_GB2312" w:cs="Calibri"/>
          <w:b/>
          <w:bCs/>
          <w:sz w:val="32"/>
          <w:szCs w:val="32"/>
        </w:rPr>
        <w:t>第二条</w:t>
      </w:r>
      <w:r>
        <w:rPr>
          <w:rFonts w:ascii="仿宋_GB2312" w:hAnsi="Calibri" w:eastAsia="仿宋_GB2312" w:cs="Calibri"/>
          <w:sz w:val="32"/>
          <w:szCs w:val="32"/>
        </w:rPr>
        <w:t xml:space="preserve"> 本规定所称客户投诉，是指客户因在本行购买代理保险产品或接受保险相关服务过程中，与营业网点或保险销售人员产生纠纷（以下简称“消费纠纷”），并向本行或本行员工提出主张其民事权益的行为。</w:t>
      </w:r>
    </w:p>
    <w:p>
      <w:pPr>
        <w:spacing w:line="360" w:lineRule="auto"/>
        <w:ind w:firstLine="640" w:firstLineChars="200"/>
        <w:rPr>
          <w:rFonts w:ascii="仿宋_GB2312" w:hAnsi="Calibri" w:eastAsia="仿宋_GB2312" w:cs="Calibri"/>
          <w:kern w:val="0"/>
          <w:sz w:val="32"/>
          <w:szCs w:val="32"/>
        </w:rPr>
      </w:pPr>
      <w:r>
        <w:rPr>
          <w:rFonts w:ascii="仿宋_GB2312" w:hAnsi="Calibri" w:eastAsia="仿宋_GB2312" w:cs="Calibri"/>
          <w:sz w:val="32"/>
          <w:szCs w:val="32"/>
        </w:rPr>
        <w:t>客户投诉内容包括但不限于：对销售过程的质疑、服务体验不满、产品与客户需求不匹配、涉嫌误导销售、销售双录存在争议等情形。</w:t>
      </w:r>
    </w:p>
    <w:p>
      <w:pPr>
        <w:spacing w:line="360" w:lineRule="auto"/>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第二条</w:t>
      </w:r>
      <w:r>
        <w:rPr>
          <w:rFonts w:hint="eastAsia" w:ascii="仿宋_GB2312" w:hAnsi="仿宋_GB2312" w:eastAsia="仿宋_GB2312" w:cs="仿宋_GB2312"/>
          <w:sz w:val="32"/>
          <w:szCs w:val="32"/>
        </w:rPr>
        <w:t xml:space="preserve"> 本规定所称客户投诉，是指客户因在本行购买代理保险产品或者接受保险相关服务过程中，与营业单位或保险销售人员产生纠纷(以下简称“消费纠纷”)，并向本行或本行员工主张其民事权益的行为。</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客户投诉内容包括但不仅限于：对销售过程有质疑、服务不满、产品与客户需求不匹配、涉嫌误导销售、销售双录存在争议等情形。</w:t>
      </w:r>
    </w:p>
    <w:bookmarkEnd w:id="4"/>
    <w:p>
      <w:pPr>
        <w:spacing w:line="360" w:lineRule="auto"/>
        <w:ind w:firstLine="643" w:firstLineChars="200"/>
        <w:rPr>
          <w:rFonts w:hint="eastAsia" w:ascii="仿宋_GB2312" w:hAnsi="仿宋_GB2312" w:eastAsia="仿宋_GB2312" w:cs="仿宋_GB2312"/>
          <w:sz w:val="32"/>
          <w:szCs w:val="32"/>
        </w:rPr>
      </w:pPr>
      <w:bookmarkStart w:id="5" w:name="OLE_LINK50"/>
      <w:r>
        <w:rPr>
          <w:rFonts w:hint="eastAsia" w:ascii="仿宋_GB2312" w:hAnsi="仿宋_GB2312" w:eastAsia="仿宋_GB2312" w:cs="仿宋_GB2312"/>
          <w:b/>
          <w:bCs/>
          <w:sz w:val="32"/>
          <w:szCs w:val="32"/>
        </w:rPr>
        <w:t>第三条</w:t>
      </w:r>
      <w:r>
        <w:rPr>
          <w:rFonts w:hint="eastAsia" w:ascii="仿宋_GB2312" w:hAnsi="仿宋_GB2312" w:eastAsia="仿宋_GB2312" w:cs="仿宋_GB2312"/>
          <w:sz w:val="32"/>
          <w:szCs w:val="32"/>
        </w:rPr>
        <w:t xml:space="preserve"> 投诉处理原则</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（一）依法合规：投诉处理必须以国家现行法律法规及监管规定为依据，依法依规处理各类投诉事项。</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（二）公平公正：投诉处理应当以保险合同为基础、以事实为依据，确保处理过程及结论公平、公正，合理维护客户和本行的合法权益。</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（三）归属承办：</w:t>
      </w:r>
      <w:r>
        <w:rPr>
          <w:rFonts w:ascii="仿宋_GB2312" w:hAnsi="仿宋_GB2312" w:eastAsia="仿宋_GB2312" w:cs="仿宋_GB2312"/>
          <w:sz w:val="32"/>
          <w:szCs w:val="32"/>
        </w:rPr>
        <w:t>投诉事项原则上由发生业务的营业单位或相关责任人员所在单位承办。对超出处理权限或难以妥善解决的，应及时逐级上报，由上级单位或指定部门承接处理，</w:t>
      </w:r>
      <w:r>
        <w:rPr>
          <w:rFonts w:hint="eastAsia" w:ascii="仿宋_GB2312" w:hAnsi="仿宋_GB2312" w:eastAsia="仿宋_GB2312" w:cs="仿宋_GB2312"/>
          <w:sz w:val="32"/>
          <w:szCs w:val="32"/>
        </w:rPr>
        <w:t>任何营业单位、部门</w:t>
      </w:r>
      <w:r>
        <w:rPr>
          <w:rFonts w:ascii="仿宋_GB2312" w:hAnsi="仿宋_GB2312" w:eastAsia="仿宋_GB2312" w:cs="仿宋_GB2312"/>
          <w:sz w:val="32"/>
          <w:szCs w:val="32"/>
        </w:rPr>
        <w:t>不得推诿、敷衍或隐瞒。</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（四）首问负责：</w:t>
      </w:r>
      <w:r>
        <w:rPr>
          <w:rFonts w:ascii="仿宋_GB2312" w:hAnsi="仿宋_GB2312" w:eastAsia="仿宋_GB2312" w:cs="仿宋_GB2312"/>
          <w:sz w:val="32"/>
          <w:szCs w:val="32"/>
        </w:rPr>
        <w:t>对客户投诉、退保等事项，实行首问负责制。首问人员应第一时间响应并积极协调处理；无法解决的</w:t>
      </w:r>
      <w:r>
        <w:rPr>
          <w:rFonts w:hint="eastAsia" w:ascii="仿宋_GB2312" w:hAnsi="仿宋_GB2312" w:eastAsia="仿宋_GB2312" w:cs="仿宋_GB2312"/>
          <w:sz w:val="32"/>
          <w:szCs w:val="32"/>
        </w:rPr>
        <w:t>对于无法妥善解决的问题，</w:t>
      </w:r>
      <w:r>
        <w:rPr>
          <w:rFonts w:ascii="仿宋_GB2312" w:hAnsi="仿宋_GB2312" w:eastAsia="仿宋_GB2312" w:cs="仿宋_GB2312"/>
          <w:sz w:val="32"/>
          <w:szCs w:val="32"/>
        </w:rPr>
        <w:t>应及时上报本单位负责人协助处理。</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（五）高效协同：</w:t>
      </w:r>
      <w:r>
        <w:rPr>
          <w:rFonts w:ascii="仿宋_GB2312" w:hAnsi="仿宋_GB2312" w:eastAsia="仿宋_GB2312" w:cs="仿宋_GB2312"/>
          <w:sz w:val="32"/>
          <w:szCs w:val="32"/>
        </w:rPr>
        <w:t>投诉处理应以快速解决问题为导向，对客户合理诉求主动协调、及时响应。涉及仲裁、诉讼的案件，应加强部门协同，统一对外应诉，最大限度保障客户权益、控制本行风险。</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（六）标本兼治：</w:t>
      </w:r>
      <w:r>
        <w:rPr>
          <w:rFonts w:ascii="仿宋_GB2312" w:hAnsi="仿宋_GB2312" w:eastAsia="仿宋_GB2312" w:cs="仿宋_GB2312"/>
          <w:sz w:val="32"/>
          <w:szCs w:val="32"/>
        </w:rPr>
        <w:t>营业单位在妥善处理投诉的同时，应深入分析原因，健全溯源整改机制，完善销售及服务流程，持续优化客户体验和服务管理水平。</w:t>
      </w:r>
    </w:p>
    <w:bookmarkEnd w:id="5"/>
    <w:p>
      <w:pPr>
        <w:spacing w:line="360" w:lineRule="auto"/>
        <w:ind w:firstLine="643" w:firstLineChars="200"/>
        <w:rPr>
          <w:rFonts w:hint="eastAsia" w:ascii="仿宋_GB2312" w:hAnsi="仿宋_GB2312" w:eastAsia="仿宋_GB2312" w:cs="仿宋_GB2312"/>
          <w:sz w:val="32"/>
          <w:szCs w:val="32"/>
        </w:rPr>
      </w:pPr>
      <w:bookmarkStart w:id="6" w:name="OLE_LINK52"/>
      <w:r>
        <w:rPr>
          <w:rFonts w:hint="eastAsia" w:ascii="仿宋_GB2312" w:hAnsi="仿宋_GB2312" w:eastAsia="仿宋_GB2312" w:cs="仿宋_GB2312"/>
          <w:b/>
          <w:bCs/>
          <w:sz w:val="32"/>
          <w:szCs w:val="32"/>
        </w:rPr>
        <w:t>第四条</w:t>
      </w:r>
      <w:r>
        <w:rPr>
          <w:rFonts w:hint="eastAsia" w:ascii="仿宋_GB2312" w:hAnsi="仿宋_GB2312" w:eastAsia="仿宋_GB2312" w:cs="仿宋_GB2312"/>
          <w:sz w:val="32"/>
          <w:szCs w:val="32"/>
        </w:rPr>
        <w:t xml:space="preserve"> 应诉责任划分与职责分工</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（一）首责归属：</w:t>
      </w:r>
      <w:r>
        <w:rPr>
          <w:rFonts w:ascii="仿宋_GB2312" w:hAnsi="仿宋_GB2312" w:eastAsia="仿宋_GB2312" w:cs="仿宋_GB2312"/>
          <w:sz w:val="32"/>
          <w:szCs w:val="32"/>
        </w:rPr>
        <w:t>营业单位保险销售人员为客户投诉处理的第一责任人，接到客户反馈后须第一时间响应，积极协调、妥善处理。不得推诿、敷衍或隐瞒不报。</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（二）承办主体：</w:t>
      </w:r>
      <w:r>
        <w:rPr>
          <w:rFonts w:ascii="仿宋_GB2312" w:hAnsi="仿宋_GB2312" w:eastAsia="仿宋_GB2312" w:cs="仿宋_GB2312"/>
          <w:sz w:val="32"/>
          <w:szCs w:val="32"/>
        </w:rPr>
        <w:t>投诉事项由涉事业务归属的营业单位承办。该单位负责人为承办责任人，应牵头成立应急小组，组织初步调查、资料调取与处置协调，并对处理结果负责。</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（三）逐级上报：</w:t>
      </w:r>
      <w:r>
        <w:rPr>
          <w:rFonts w:ascii="仿宋_GB2312" w:hAnsi="仿宋_GB2312" w:eastAsia="仿宋_GB2312" w:cs="仿宋_GB2312"/>
          <w:sz w:val="32"/>
          <w:szCs w:val="32"/>
        </w:rPr>
        <w:t>超出营业单位处理权限或存在复杂争议、敏感舆情的投诉事项，应第一时间逐级上报，由零售金融部牵头组织调查处理，并跟进反馈结果。</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（四）重大事件处理机制：</w:t>
      </w:r>
      <w:r>
        <w:rPr>
          <w:rFonts w:ascii="仿宋_GB2312" w:hAnsi="仿宋_GB2312" w:eastAsia="仿宋_GB2312" w:cs="仿宋_GB2312"/>
          <w:sz w:val="32"/>
          <w:szCs w:val="32"/>
        </w:rPr>
        <w:t>对涉及多个部门、存在重大销售误导或系统性适配偏差的投诉事项，由总行统一牵头，组织专项调查，必要时启动责任追溯和整改机制。</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w:t>
      </w:r>
      <w:bookmarkEnd w:id="6"/>
      <w:r>
        <w:rPr>
          <w:rFonts w:hint="eastAsia" w:ascii="仿宋_GB2312" w:hAnsi="仿宋_GB2312" w:eastAsia="仿宋_GB2312" w:cs="仿宋_GB2312"/>
          <w:sz w:val="32"/>
          <w:szCs w:val="32"/>
        </w:rPr>
        <w:t>资料归档：所</w:t>
      </w:r>
      <w:r>
        <w:rPr>
          <w:rFonts w:ascii="仿宋_GB2312" w:hAnsi="仿宋_GB2312" w:eastAsia="仿宋_GB2312" w:cs="仿宋_GB2312"/>
          <w:sz w:val="32"/>
          <w:szCs w:val="32"/>
        </w:rPr>
        <w:t>有投诉处理应形成完整材料记录，包括客户反馈、调查过程、沟通情况、处理意见及客户确认等，统一留存于系统或专用登记簿中，资料保存期不少于5年。</w:t>
      </w:r>
    </w:p>
    <w:p>
      <w:pPr>
        <w:spacing w:line="360" w:lineRule="auto"/>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第五条</w:t>
      </w:r>
      <w:r>
        <w:rPr>
          <w:rFonts w:hint="eastAsia" w:ascii="仿宋_GB2312" w:hAnsi="仿宋_GB2312" w:eastAsia="仿宋_GB2312" w:cs="仿宋_GB2312"/>
          <w:sz w:val="32"/>
          <w:szCs w:val="32"/>
        </w:rPr>
        <w:t xml:space="preserve"> 投诉处理流程</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（一）快速响应：</w:t>
      </w:r>
      <w:r>
        <w:rPr>
          <w:rFonts w:ascii="仿宋_GB2312" w:hAnsi="仿宋_GB2312" w:eastAsia="仿宋_GB2312" w:cs="仿宋_GB2312"/>
          <w:sz w:val="32"/>
          <w:szCs w:val="32"/>
        </w:rPr>
        <w:t>接到投诉案件后，营业单位投诉应急小组或协同处理人员应立即响应，第一时间了解客户投诉内容及基本事实，安抚客户情绪，做好初步登记。</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（二）调查取证：调查取证方式包括但不限于客户约谈、保险销售人员或其他涉诉人员访谈、合作单位的调查；核查内容应包括但不限于对涉诉保单的销售、承保、回访等环节。</w:t>
      </w:r>
    </w:p>
    <w:p>
      <w:pPr>
        <w:spacing w:line="360" w:lineRule="auto"/>
        <w:ind w:firstLine="640" w:firstLineChars="200"/>
        <w:rPr>
          <w:rFonts w:hint="eastAsia" w:ascii="仿宋_GB2312" w:hAnsi="仿宋_GB2312" w:eastAsia="仿宋_GB2312" w:cs="仿宋_GB2312"/>
          <w:sz w:val="32"/>
          <w:szCs w:val="32"/>
        </w:rPr>
      </w:pPr>
      <w:r>
        <w:rPr>
          <w:rFonts w:ascii="仿宋_GB2312" w:hAnsi="仿宋_GB2312" w:eastAsia="仿宋_GB2312" w:cs="仿宋_GB2312"/>
          <w:sz w:val="32"/>
          <w:szCs w:val="32"/>
        </w:rPr>
        <w:t>（三）责任认定：依据调查资料及相关制度规定，判断是否存在销售误导、适配失当、信息披露不充分、双录不规范等问题，明确责任主体及其责任等级。</w:t>
      </w:r>
    </w:p>
    <w:p>
      <w:pPr>
        <w:spacing w:line="360" w:lineRule="auto"/>
        <w:ind w:firstLine="640" w:firstLineChars="200"/>
        <w:rPr>
          <w:rFonts w:hint="eastAsia" w:ascii="仿宋_GB2312" w:hAnsi="仿宋_GB2312" w:eastAsia="仿宋_GB2312" w:cs="仿宋_GB2312"/>
          <w:sz w:val="32"/>
          <w:szCs w:val="32"/>
        </w:rPr>
      </w:pPr>
      <w:r>
        <w:rPr>
          <w:rFonts w:ascii="仿宋_GB2312" w:hAnsi="仿宋_GB2312" w:eastAsia="仿宋_GB2312" w:cs="仿宋_GB2312"/>
          <w:sz w:val="32"/>
          <w:szCs w:val="32"/>
        </w:rPr>
        <w:t>（四）处理决定：承办单位应根据责任认定结果提出处理意见，必要时报零售金融部或总行审批。处理方式包括但不限于退保处理、赔偿方案、相关责任人问责、客户致歉、系统整改等。</w:t>
      </w:r>
    </w:p>
    <w:p>
      <w:pPr>
        <w:spacing w:line="360" w:lineRule="auto"/>
        <w:ind w:firstLine="640" w:firstLineChars="200"/>
        <w:rPr>
          <w:rFonts w:hint="eastAsia" w:ascii="仿宋_GB2312" w:hAnsi="仿宋_GB2312" w:eastAsia="仿宋_GB2312" w:cs="仿宋_GB2312"/>
          <w:sz w:val="32"/>
          <w:szCs w:val="32"/>
        </w:rPr>
      </w:pPr>
      <w:r>
        <w:rPr>
          <w:rFonts w:ascii="仿宋_GB2312" w:hAnsi="仿宋_GB2312" w:eastAsia="仿宋_GB2312" w:cs="仿宋_GB2312"/>
          <w:sz w:val="32"/>
          <w:szCs w:val="32"/>
        </w:rPr>
        <w:t>（五）客户反馈与沟通：处理决定作出后，应通过电话、书面或面谈等方式及时向客户反馈处理结果与依据，听取客户意见，进行充分解释与答复，确保沟通闭环。</w:t>
      </w:r>
    </w:p>
    <w:p>
      <w:pPr>
        <w:spacing w:line="360" w:lineRule="auto"/>
        <w:ind w:firstLine="640" w:firstLineChars="200"/>
        <w:rPr>
          <w:rFonts w:hint="eastAsia" w:ascii="仿宋_GB2312" w:hAnsi="仿宋_GB2312" w:eastAsia="仿宋_GB2312" w:cs="仿宋_GB2312"/>
          <w:sz w:val="32"/>
          <w:szCs w:val="32"/>
        </w:rPr>
      </w:pPr>
      <w:r>
        <w:rPr>
          <w:rFonts w:ascii="仿宋_GB2312" w:hAnsi="仿宋_GB2312" w:eastAsia="仿宋_GB2312" w:cs="仿宋_GB2312"/>
          <w:sz w:val="32"/>
          <w:szCs w:val="32"/>
        </w:rPr>
        <w:t>（六）结案与归档：对处理完毕的投诉案件，应形成结案报告</w:t>
      </w:r>
      <w:r>
        <w:rPr>
          <w:rFonts w:hint="eastAsia" w:ascii="仿宋_GB2312" w:hAnsi="仿宋_GB2312" w:eastAsia="仿宋_GB2312" w:cs="仿宋_GB2312"/>
          <w:sz w:val="32"/>
          <w:szCs w:val="32"/>
        </w:rPr>
        <w:t>，包</w:t>
      </w:r>
      <w:r>
        <w:rPr>
          <w:rFonts w:ascii="仿宋_GB2312" w:hAnsi="仿宋_GB2312" w:eastAsia="仿宋_GB2312" w:cs="仿宋_GB2312"/>
          <w:sz w:val="32"/>
          <w:szCs w:val="32"/>
        </w:rPr>
        <w:t>括处理过程、调查记录、客户反馈、处理结论等内容，</w:t>
      </w:r>
      <w:r>
        <w:rPr>
          <w:rFonts w:hint="eastAsia" w:ascii="仿宋_GB2312" w:hAnsi="仿宋_GB2312" w:eastAsia="仿宋_GB2312" w:cs="仿宋_GB2312"/>
          <w:sz w:val="32"/>
          <w:szCs w:val="32"/>
        </w:rPr>
        <w:t>并归档。归档</w:t>
      </w:r>
      <w:r>
        <w:rPr>
          <w:rFonts w:ascii="仿宋_GB2312" w:hAnsi="仿宋_GB2312" w:eastAsia="仿宋_GB2312" w:cs="仿宋_GB2312"/>
          <w:sz w:val="32"/>
          <w:szCs w:val="32"/>
        </w:rPr>
        <w:t>资料保存不少于5年，以备查验和分析。</w:t>
      </w:r>
    </w:p>
    <w:p>
      <w:pPr>
        <w:spacing w:line="360" w:lineRule="auto"/>
        <w:ind w:firstLine="643" w:firstLineChars="200"/>
        <w:rPr>
          <w:rFonts w:hint="eastAsia" w:ascii="仿宋_GB2312" w:hAnsi="仿宋_GB2312" w:eastAsia="仿宋_GB2312" w:cs="仿宋_GB2312"/>
          <w:sz w:val="32"/>
          <w:szCs w:val="32"/>
        </w:rPr>
      </w:pPr>
      <w:bookmarkStart w:id="7" w:name="OLE_LINK42"/>
      <w:bookmarkStart w:id="8" w:name="OLE_LINK53"/>
      <w:r>
        <w:rPr>
          <w:rFonts w:hint="eastAsia" w:ascii="仿宋_GB2312" w:hAnsi="仿宋_GB2312" w:eastAsia="仿宋_GB2312" w:cs="仿宋_GB2312"/>
          <w:b/>
          <w:bCs/>
          <w:sz w:val="32"/>
          <w:szCs w:val="32"/>
        </w:rPr>
        <w:t>第六条</w:t>
      </w:r>
      <w:r>
        <w:rPr>
          <w:rFonts w:hint="eastAsia" w:ascii="仿宋_GB2312" w:hAnsi="仿宋_GB2312" w:eastAsia="仿宋_GB2312" w:cs="仿宋_GB2312"/>
          <w:sz w:val="32"/>
          <w:szCs w:val="32"/>
        </w:rPr>
        <w:t xml:space="preserve"> 责任追究与整改</w:t>
      </w:r>
    </w:p>
    <w:bookmarkEnd w:id="7"/>
    <w:p>
      <w:pPr>
        <w:spacing w:line="360" w:lineRule="auto"/>
        <w:ind w:firstLine="640" w:firstLineChars="200"/>
        <w:rPr>
          <w:rFonts w:hint="eastAsia" w:ascii="仿宋_GB2312" w:hAnsi="仿宋_GB2312" w:eastAsia="仿宋_GB2312" w:cs="仿宋_GB2312"/>
          <w:sz w:val="32"/>
          <w:szCs w:val="32"/>
        </w:rPr>
      </w:pPr>
      <w:bookmarkStart w:id="9" w:name="OLE_LINK45"/>
      <w:r>
        <w:rPr>
          <w:rFonts w:ascii="仿宋_GB2312" w:hAnsi="仿宋_GB2312" w:eastAsia="仿宋_GB2312" w:cs="仿宋_GB2312"/>
          <w:sz w:val="32"/>
          <w:szCs w:val="32"/>
        </w:rPr>
        <w:t>（一）投诉事项经查实涉及以下情形的，由相关责任人员及其所属营业单位承担相应责任：</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 </w:t>
      </w:r>
      <w:r>
        <w:rPr>
          <w:rFonts w:ascii="仿宋_GB2312" w:hAnsi="仿宋_GB2312" w:eastAsia="仿宋_GB2312" w:cs="仿宋_GB2312"/>
          <w:sz w:val="32"/>
          <w:szCs w:val="32"/>
        </w:rPr>
        <w:t>本行未履行保险销售主体责任或对合作公司人员管理失控的；</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 </w:t>
      </w:r>
      <w:r>
        <w:rPr>
          <w:rFonts w:ascii="仿宋_GB2312" w:hAnsi="仿宋_GB2312" w:eastAsia="仿宋_GB2312" w:cs="仿宋_GB2312"/>
          <w:sz w:val="32"/>
          <w:szCs w:val="32"/>
        </w:rPr>
        <w:t>保险销售人员存在误导销售、混淆销售、捆绑销售、虚假承诺保单收益、代为签字、引导客户不如实告知、风险错配、未按要求实施双录等违规行为</w:t>
      </w:r>
      <w:r>
        <w:rPr>
          <w:rFonts w:hint="eastAsia" w:ascii="仿宋_GB2312" w:hAnsi="仿宋_GB2312" w:eastAsia="仿宋_GB2312" w:cs="仿宋_GB2312"/>
          <w:sz w:val="32"/>
          <w:szCs w:val="32"/>
        </w:rPr>
        <w:t>等</w:t>
      </w:r>
      <w:r>
        <w:rPr>
          <w:rFonts w:ascii="仿宋_GB2312" w:hAnsi="仿宋_GB2312" w:eastAsia="仿宋_GB2312" w:cs="仿宋_GB2312"/>
          <w:sz w:val="32"/>
          <w:szCs w:val="32"/>
        </w:rPr>
        <w:t>。</w:t>
      </w:r>
    </w:p>
    <w:p>
      <w:pPr>
        <w:spacing w:line="360" w:lineRule="auto"/>
        <w:ind w:firstLine="640" w:firstLineChars="200"/>
        <w:rPr>
          <w:rFonts w:hint="eastAsia" w:ascii="仿宋_GB2312" w:hAnsi="仿宋_GB2312" w:eastAsia="仿宋_GB2312" w:cs="仿宋_GB2312"/>
          <w:sz w:val="32"/>
          <w:szCs w:val="32"/>
        </w:rPr>
      </w:pPr>
      <w:r>
        <w:rPr>
          <w:rFonts w:ascii="仿宋_GB2312" w:hAnsi="仿宋_GB2312" w:eastAsia="仿宋_GB2312" w:cs="仿宋_GB2312"/>
          <w:sz w:val="32"/>
          <w:szCs w:val="32"/>
        </w:rPr>
        <w:t>（二）客户首次提出诉求后，因首问责任人存在推诿敷衍、处理拖延、态度不当等行为导致客户情绪激化、投诉升级或追加诉求的，首问责任人应承担主要责任，并纳入绩效考核与行为管理。</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w:t>
      </w:r>
      <w:r>
        <w:rPr>
          <w:rFonts w:ascii="仿宋_GB2312" w:hAnsi="仿宋_GB2312" w:eastAsia="仿宋_GB2312" w:cs="仿宋_GB2312"/>
          <w:sz w:val="32"/>
          <w:szCs w:val="32"/>
        </w:rPr>
        <w:t>对于被投诉2次（含）以上，且经调查确有销售或服务瑕疵的保险销售人员，零售金融部应视情节安排专项再培训，并可按制度规定采取暂停销售资格、岗位调整等处置措施。典型案例应全行通报，并纳入年度稽核与整改计划。</w:t>
      </w:r>
    </w:p>
    <w:bookmarkEnd w:id="9"/>
    <w:p>
      <w:pPr>
        <w:ind w:firstLine="645"/>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第七条</w:t>
      </w:r>
      <w:r>
        <w:rPr>
          <w:rFonts w:hint="eastAsia" w:ascii="仿宋_GB2312" w:hAnsi="仿宋_GB2312" w:eastAsia="仿宋_GB2312" w:cs="仿宋_GB2312"/>
          <w:sz w:val="32"/>
          <w:szCs w:val="32"/>
        </w:rPr>
        <w:t xml:space="preserve"> 投诉数据分析与报告机制</w:t>
      </w:r>
    </w:p>
    <w:p>
      <w:pPr>
        <w:ind w:firstLine="645"/>
        <w:rPr>
          <w:rFonts w:hint="eastAsia" w:ascii="仿宋_GB2312" w:hAnsi="仿宋_GB2312" w:eastAsia="仿宋_GB2312" w:cs="仿宋_GB2312"/>
          <w:sz w:val="32"/>
          <w:szCs w:val="32"/>
        </w:rPr>
      </w:pPr>
      <w:r>
        <w:rPr>
          <w:rFonts w:ascii="仿宋_GB2312" w:hAnsi="仿宋_GB2312" w:eastAsia="仿宋_GB2312" w:cs="仿宋_GB2312"/>
          <w:sz w:val="32"/>
          <w:szCs w:val="32"/>
        </w:rPr>
        <w:t>（一）零售金融部应建立投诉数据分析制度，每</w:t>
      </w:r>
      <w:r>
        <w:rPr>
          <w:rFonts w:hint="eastAsia" w:ascii="仿宋_GB2312" w:hAnsi="仿宋_GB2312" w:eastAsia="仿宋_GB2312" w:cs="仿宋_GB2312"/>
          <w:sz w:val="32"/>
          <w:szCs w:val="32"/>
          <w:lang w:val="en-US" w:eastAsia="zh-CN"/>
        </w:rPr>
        <w:t>半年</w:t>
      </w:r>
      <w:r>
        <w:rPr>
          <w:rFonts w:ascii="仿宋_GB2312" w:hAnsi="仿宋_GB2312" w:eastAsia="仿宋_GB2312" w:cs="仿宋_GB2312"/>
          <w:sz w:val="32"/>
          <w:szCs w:val="32"/>
        </w:rPr>
        <w:t>汇总客户投诉情况，形成投诉简报或专题报告。</w:t>
      </w:r>
    </w:p>
    <w:p>
      <w:pPr>
        <w:tabs>
          <w:tab w:val="left" w:pos="720"/>
        </w:tabs>
        <w:ind w:firstLine="645"/>
        <w:rPr>
          <w:rFonts w:hint="eastAsia" w:ascii="仿宋_GB2312" w:hAnsi="仿宋_GB2312" w:eastAsia="仿宋_GB2312" w:cs="仿宋_GB2312"/>
          <w:sz w:val="32"/>
          <w:szCs w:val="32"/>
        </w:rPr>
      </w:pPr>
      <w:r>
        <w:rPr>
          <w:rFonts w:ascii="仿宋_GB2312" w:hAnsi="仿宋_GB2312" w:eastAsia="仿宋_GB2312" w:cs="仿宋_GB2312"/>
          <w:sz w:val="32"/>
          <w:szCs w:val="32"/>
        </w:rPr>
        <w:t>（二）投诉分析维度应包括但不限于：投诉原因分布（如产品不适配、服务态度、销售误导、双录争议等</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涉及产品类型与合作保司；涉及营业网点、岗位人员；投诉处理效率与客户满意度；复发投诉与多次投诉行为追踪</w:t>
      </w:r>
      <w:r>
        <w:rPr>
          <w:rFonts w:hint="eastAsia" w:ascii="仿宋_GB2312" w:hAnsi="仿宋_GB2312" w:eastAsia="仿宋_GB2312" w:cs="仿宋_GB2312"/>
          <w:sz w:val="32"/>
          <w:szCs w:val="32"/>
        </w:rPr>
        <w:t>等</w:t>
      </w:r>
      <w:r>
        <w:rPr>
          <w:rFonts w:ascii="仿宋_GB2312" w:hAnsi="仿宋_GB2312" w:eastAsia="仿宋_GB2312" w:cs="仿宋_GB2312"/>
          <w:sz w:val="32"/>
          <w:szCs w:val="32"/>
        </w:rPr>
        <w:t>。</w:t>
      </w:r>
    </w:p>
    <w:p>
      <w:pPr>
        <w:ind w:firstLine="645"/>
        <w:rPr>
          <w:rFonts w:hint="eastAsia" w:ascii="仿宋_GB2312" w:hAnsi="仿宋_GB2312" w:eastAsia="仿宋_GB2312" w:cs="仿宋_GB2312"/>
          <w:sz w:val="32"/>
          <w:szCs w:val="32"/>
        </w:rPr>
      </w:pPr>
      <w:r>
        <w:rPr>
          <w:rFonts w:ascii="仿宋_GB2312" w:hAnsi="仿宋_GB2312" w:eastAsia="仿宋_GB2312" w:cs="仿宋_GB2312"/>
          <w:sz w:val="32"/>
          <w:szCs w:val="32"/>
        </w:rPr>
        <w:t>（三）分析报告应反馈给总行高管、相关管理部门及业务条线，用于指导销售改进、员工管理及制度完善。</w:t>
      </w:r>
    </w:p>
    <w:p>
      <w:pPr>
        <w:spacing w:line="360" w:lineRule="auto"/>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第八条</w:t>
      </w:r>
      <w:r>
        <w:rPr>
          <w:rFonts w:hint="eastAsia" w:ascii="仿宋_GB2312" w:hAnsi="仿宋_GB2312" w:eastAsia="仿宋_GB2312" w:cs="仿宋_GB2312"/>
          <w:sz w:val="32"/>
          <w:szCs w:val="32"/>
        </w:rPr>
        <w:t xml:space="preserve"> 附则</w:t>
      </w:r>
    </w:p>
    <w:p>
      <w:pPr>
        <w:spacing w:line="360" w:lineRule="auto"/>
        <w:ind w:firstLine="640" w:firstLineChars="200"/>
        <w:rPr>
          <w:rFonts w:hint="eastAsia" w:ascii="仿宋_GB2312" w:hAnsi="仿宋_GB2312" w:eastAsia="仿宋_GB2312" w:cs="仿宋_GB2312"/>
          <w:sz w:val="32"/>
          <w:szCs w:val="32"/>
        </w:rPr>
      </w:pPr>
      <w:r>
        <w:rPr>
          <w:rFonts w:ascii="仿宋_GB2312" w:hAnsi="仿宋_GB2312" w:eastAsia="仿宋_GB2312" w:cs="仿宋_GB2312"/>
          <w:sz w:val="32"/>
          <w:szCs w:val="32"/>
        </w:rPr>
        <w:t>本规定未尽事项，参照</w:t>
      </w:r>
      <w:r>
        <w:rPr>
          <w:rFonts w:hint="eastAsia" w:ascii="仿宋_GB2312" w:hAnsi="仿宋_GB2312" w:eastAsia="仿宋_GB2312" w:cs="仿宋_GB2312"/>
          <w:sz w:val="32"/>
          <w:szCs w:val="32"/>
        </w:rPr>
        <w:t>本行客户投诉管理相关规定执行。</w:t>
      </w:r>
      <w:bookmarkEnd w:id="8"/>
    </w:p>
    <w:sectPr>
      <w:headerReference r:id="rId5" w:type="default"/>
      <w:footerReference r:id="rId6" w:type="default"/>
      <w:pgSz w:w="11906" w:h="16838"/>
      <w:pgMar w:top="1440" w:right="1797" w:bottom="1440" w:left="1797" w:header="851" w:footer="992" w:gutter="0"/>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roma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bookmarkStart w:id="10" w:name="_GoBack"/>
    <w:bookmarkEnd w:id="10"/>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6F83"/>
    <w:rsid w:val="00020F9B"/>
    <w:rsid w:val="00021562"/>
    <w:rsid w:val="00033E10"/>
    <w:rsid w:val="00036932"/>
    <w:rsid w:val="000A6D31"/>
    <w:rsid w:val="000C34EC"/>
    <w:rsid w:val="000E38E5"/>
    <w:rsid w:val="000E7F6B"/>
    <w:rsid w:val="000F60BC"/>
    <w:rsid w:val="00116306"/>
    <w:rsid w:val="00136622"/>
    <w:rsid w:val="00163AE3"/>
    <w:rsid w:val="00192CD4"/>
    <w:rsid w:val="001A446F"/>
    <w:rsid w:val="001D3BAB"/>
    <w:rsid w:val="001D6FFD"/>
    <w:rsid w:val="001F650F"/>
    <w:rsid w:val="0021039D"/>
    <w:rsid w:val="00232760"/>
    <w:rsid w:val="00263F21"/>
    <w:rsid w:val="002671A9"/>
    <w:rsid w:val="00276375"/>
    <w:rsid w:val="002D0C9C"/>
    <w:rsid w:val="0031392A"/>
    <w:rsid w:val="00366BBA"/>
    <w:rsid w:val="003841A4"/>
    <w:rsid w:val="003C0912"/>
    <w:rsid w:val="003C7ECE"/>
    <w:rsid w:val="003F3CA1"/>
    <w:rsid w:val="004301C6"/>
    <w:rsid w:val="00437497"/>
    <w:rsid w:val="0044360F"/>
    <w:rsid w:val="00461CE6"/>
    <w:rsid w:val="0046683D"/>
    <w:rsid w:val="0047399B"/>
    <w:rsid w:val="00477BEF"/>
    <w:rsid w:val="00484DD7"/>
    <w:rsid w:val="004868A1"/>
    <w:rsid w:val="004F1952"/>
    <w:rsid w:val="00524833"/>
    <w:rsid w:val="00537C90"/>
    <w:rsid w:val="005A2C70"/>
    <w:rsid w:val="005A3758"/>
    <w:rsid w:val="005D75D8"/>
    <w:rsid w:val="006326D7"/>
    <w:rsid w:val="00634777"/>
    <w:rsid w:val="00650D5B"/>
    <w:rsid w:val="00651848"/>
    <w:rsid w:val="00671D88"/>
    <w:rsid w:val="00692C34"/>
    <w:rsid w:val="006A0F9B"/>
    <w:rsid w:val="006B174A"/>
    <w:rsid w:val="00722491"/>
    <w:rsid w:val="00760608"/>
    <w:rsid w:val="00776766"/>
    <w:rsid w:val="0079071E"/>
    <w:rsid w:val="007B52B1"/>
    <w:rsid w:val="007D3C36"/>
    <w:rsid w:val="007D403E"/>
    <w:rsid w:val="007F0CD1"/>
    <w:rsid w:val="00807A4F"/>
    <w:rsid w:val="00816826"/>
    <w:rsid w:val="00821F2F"/>
    <w:rsid w:val="00836C1D"/>
    <w:rsid w:val="00865472"/>
    <w:rsid w:val="00872F1C"/>
    <w:rsid w:val="008E3ADC"/>
    <w:rsid w:val="008F7578"/>
    <w:rsid w:val="00974437"/>
    <w:rsid w:val="00A00D54"/>
    <w:rsid w:val="00A011DD"/>
    <w:rsid w:val="00A0428F"/>
    <w:rsid w:val="00A05777"/>
    <w:rsid w:val="00A274EA"/>
    <w:rsid w:val="00A62F42"/>
    <w:rsid w:val="00A6377E"/>
    <w:rsid w:val="00AA13F0"/>
    <w:rsid w:val="00AB36E0"/>
    <w:rsid w:val="00AE6D7D"/>
    <w:rsid w:val="00AF07EC"/>
    <w:rsid w:val="00AF56CA"/>
    <w:rsid w:val="00B4116F"/>
    <w:rsid w:val="00B45BB5"/>
    <w:rsid w:val="00B62569"/>
    <w:rsid w:val="00B75598"/>
    <w:rsid w:val="00BA1670"/>
    <w:rsid w:val="00BC61C3"/>
    <w:rsid w:val="00BE15B9"/>
    <w:rsid w:val="00BF5545"/>
    <w:rsid w:val="00C10047"/>
    <w:rsid w:val="00C15EF7"/>
    <w:rsid w:val="00C16684"/>
    <w:rsid w:val="00C726F3"/>
    <w:rsid w:val="00CB0274"/>
    <w:rsid w:val="00CD6F83"/>
    <w:rsid w:val="00D32E86"/>
    <w:rsid w:val="00D44FE6"/>
    <w:rsid w:val="00D505B2"/>
    <w:rsid w:val="00D753E1"/>
    <w:rsid w:val="00D931CE"/>
    <w:rsid w:val="00E112A1"/>
    <w:rsid w:val="00E174CC"/>
    <w:rsid w:val="00E23CC1"/>
    <w:rsid w:val="00E31C35"/>
    <w:rsid w:val="00E64ECF"/>
    <w:rsid w:val="00E84636"/>
    <w:rsid w:val="00EA5570"/>
    <w:rsid w:val="00EE377F"/>
    <w:rsid w:val="00EF2DD4"/>
    <w:rsid w:val="00F25FAD"/>
    <w:rsid w:val="00F2756A"/>
    <w:rsid w:val="00F40626"/>
    <w:rsid w:val="00F426FF"/>
    <w:rsid w:val="00F648C3"/>
    <w:rsid w:val="00F9337B"/>
    <w:rsid w:val="00FA3E3A"/>
    <w:rsid w:val="00FB1F1A"/>
    <w:rsid w:val="00FD5DD8"/>
    <w:rsid w:val="00FF5B71"/>
    <w:rsid w:val="218E40A3"/>
    <w:rsid w:val="413E5D5D"/>
    <w:rsid w:val="4CF022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0" w:line="240" w:lineRule="auto"/>
      <w:jc w:val="both"/>
    </w:pPr>
    <w:rPr>
      <w:rFonts w:asciiTheme="minorHAnsi" w:hAnsiTheme="minorHAnsi" w:eastAsiaTheme="minorEastAsia" w:cstheme="minorBidi"/>
      <w:kern w:val="2"/>
      <w:sz w:val="21"/>
      <w:szCs w:val="22"/>
      <w:lang w:val="en-US" w:eastAsia="zh-CN" w:bidi="ar-SA"/>
      <w14:ligatures w14:val="none"/>
    </w:rPr>
  </w:style>
  <w:style w:type="paragraph" w:styleId="2">
    <w:name w:val="heading 1"/>
    <w:basedOn w:val="1"/>
    <w:next w:val="1"/>
    <w:link w:val="19"/>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20"/>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1"/>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2"/>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3"/>
    <w:semiHidden/>
    <w:unhideWhenUsed/>
    <w:qFormat/>
    <w:uiPriority w:val="9"/>
    <w:pPr>
      <w:keepNext/>
      <w:keepLines/>
      <w:spacing w:before="80" w:after="40"/>
      <w:outlineLvl w:val="4"/>
    </w:pPr>
    <w:rPr>
      <w:rFonts w:cstheme="majorBidi"/>
      <w:color w:val="104862" w:themeColor="accent1" w:themeShade="BF"/>
      <w:sz w:val="24"/>
    </w:rPr>
  </w:style>
  <w:style w:type="paragraph" w:styleId="7">
    <w:name w:val="heading 6"/>
    <w:basedOn w:val="1"/>
    <w:next w:val="1"/>
    <w:link w:val="24"/>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25"/>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6"/>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7"/>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11">
    <w:name w:val="footer"/>
    <w:basedOn w:val="1"/>
    <w:link w:val="38"/>
    <w:unhideWhenUsed/>
    <w:qFormat/>
    <w:uiPriority w:val="99"/>
    <w:pPr>
      <w:tabs>
        <w:tab w:val="center" w:pos="4153"/>
        <w:tab w:val="right" w:pos="8306"/>
      </w:tabs>
      <w:snapToGrid w:val="0"/>
      <w:jc w:val="left"/>
    </w:pPr>
    <w:rPr>
      <w:sz w:val="18"/>
      <w:szCs w:val="18"/>
    </w:rPr>
  </w:style>
  <w:style w:type="paragraph" w:styleId="12">
    <w:name w:val="header"/>
    <w:basedOn w:val="1"/>
    <w:link w:val="37"/>
    <w:unhideWhenUsed/>
    <w:qFormat/>
    <w:uiPriority w:val="99"/>
    <w:pPr>
      <w:tabs>
        <w:tab w:val="center" w:pos="4153"/>
        <w:tab w:val="right" w:pos="8306"/>
      </w:tabs>
      <w:snapToGrid w:val="0"/>
      <w:jc w:val="center"/>
    </w:pPr>
    <w:rPr>
      <w:sz w:val="18"/>
      <w:szCs w:val="18"/>
    </w:rPr>
  </w:style>
  <w:style w:type="paragraph" w:styleId="13">
    <w:name w:val="Subtitle"/>
    <w:basedOn w:val="1"/>
    <w:next w:val="1"/>
    <w:link w:val="29"/>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5">
    <w:name w:val="Title"/>
    <w:basedOn w:val="1"/>
    <w:next w:val="1"/>
    <w:link w:val="28"/>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styleId="18">
    <w:name w:val="Strong"/>
    <w:basedOn w:val="17"/>
    <w:qFormat/>
    <w:uiPriority w:val="22"/>
    <w:rPr>
      <w:b/>
      <w:bCs/>
    </w:rPr>
  </w:style>
  <w:style w:type="character" w:customStyle="1" w:styleId="19">
    <w:name w:val="标题 1 字符"/>
    <w:basedOn w:val="17"/>
    <w:link w:val="2"/>
    <w:qFormat/>
    <w:uiPriority w:val="9"/>
    <w:rPr>
      <w:rFonts w:asciiTheme="majorHAnsi" w:hAnsiTheme="majorHAnsi" w:eastAsiaTheme="majorEastAsia" w:cstheme="majorBidi"/>
      <w:color w:val="104862" w:themeColor="accent1" w:themeShade="BF"/>
      <w:sz w:val="48"/>
      <w:szCs w:val="48"/>
    </w:rPr>
  </w:style>
  <w:style w:type="character" w:customStyle="1" w:styleId="20">
    <w:name w:val="标题 2 字符"/>
    <w:basedOn w:val="17"/>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21">
    <w:name w:val="标题 3 字符"/>
    <w:basedOn w:val="17"/>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22">
    <w:name w:val="标题 4 字符"/>
    <w:basedOn w:val="17"/>
    <w:link w:val="5"/>
    <w:semiHidden/>
    <w:qFormat/>
    <w:uiPriority w:val="9"/>
    <w:rPr>
      <w:rFonts w:cstheme="majorBidi"/>
      <w:color w:val="104862" w:themeColor="accent1" w:themeShade="BF"/>
      <w:sz w:val="28"/>
      <w:szCs w:val="28"/>
    </w:rPr>
  </w:style>
  <w:style w:type="character" w:customStyle="1" w:styleId="23">
    <w:name w:val="标题 5 字符"/>
    <w:basedOn w:val="17"/>
    <w:link w:val="6"/>
    <w:semiHidden/>
    <w:qFormat/>
    <w:uiPriority w:val="9"/>
    <w:rPr>
      <w:rFonts w:cstheme="majorBidi"/>
      <w:color w:val="104862" w:themeColor="accent1" w:themeShade="BF"/>
      <w:sz w:val="24"/>
    </w:rPr>
  </w:style>
  <w:style w:type="character" w:customStyle="1" w:styleId="24">
    <w:name w:val="标题 6 字符"/>
    <w:basedOn w:val="17"/>
    <w:link w:val="7"/>
    <w:semiHidden/>
    <w:qFormat/>
    <w:uiPriority w:val="9"/>
    <w:rPr>
      <w:rFonts w:cstheme="majorBidi"/>
      <w:b/>
      <w:bCs/>
      <w:color w:val="104862" w:themeColor="accent1" w:themeShade="BF"/>
    </w:rPr>
  </w:style>
  <w:style w:type="character" w:customStyle="1" w:styleId="25">
    <w:name w:val="标题 7 字符"/>
    <w:basedOn w:val="17"/>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6">
    <w:name w:val="标题 8 字符"/>
    <w:basedOn w:val="17"/>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7">
    <w:name w:val="标题 9 字符"/>
    <w:basedOn w:val="17"/>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8">
    <w:name w:val="标题 字符"/>
    <w:basedOn w:val="17"/>
    <w:link w:val="15"/>
    <w:qFormat/>
    <w:uiPriority w:val="10"/>
    <w:rPr>
      <w:rFonts w:asciiTheme="majorHAnsi" w:hAnsiTheme="majorHAnsi" w:eastAsiaTheme="majorEastAsia" w:cstheme="majorBidi"/>
      <w:spacing w:val="-10"/>
      <w:kern w:val="28"/>
      <w:sz w:val="56"/>
      <w:szCs w:val="56"/>
    </w:rPr>
  </w:style>
  <w:style w:type="character" w:customStyle="1" w:styleId="29">
    <w:name w:val="副标题 字符"/>
    <w:basedOn w:val="17"/>
    <w:link w:val="13"/>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0">
    <w:name w:val="Quote"/>
    <w:basedOn w:val="1"/>
    <w:next w:val="1"/>
    <w:link w:val="31"/>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31">
    <w:name w:val="引用 字符"/>
    <w:basedOn w:val="17"/>
    <w:link w:val="30"/>
    <w:qFormat/>
    <w:uiPriority w:val="29"/>
    <w:rPr>
      <w:i/>
      <w:iCs/>
      <w:color w:val="404040" w:themeColor="text1" w:themeTint="BF"/>
      <w14:textFill>
        <w14:solidFill>
          <w14:schemeClr w14:val="tx1">
            <w14:lumMod w14:val="75000"/>
            <w14:lumOff w14:val="25000"/>
          </w14:schemeClr>
        </w14:solidFill>
      </w14:textFill>
    </w:rPr>
  </w:style>
  <w:style w:type="paragraph" w:styleId="32">
    <w:name w:val="List Paragraph"/>
    <w:basedOn w:val="1"/>
    <w:qFormat/>
    <w:uiPriority w:val="34"/>
    <w:pPr>
      <w:ind w:left="720"/>
      <w:contextualSpacing/>
    </w:pPr>
  </w:style>
  <w:style w:type="character" w:customStyle="1" w:styleId="33">
    <w:name w:val="Intense Emphasis"/>
    <w:basedOn w:val="17"/>
    <w:qFormat/>
    <w:uiPriority w:val="21"/>
    <w:rPr>
      <w:i/>
      <w:iCs/>
      <w:color w:val="104862" w:themeColor="accent1" w:themeShade="BF"/>
    </w:rPr>
  </w:style>
  <w:style w:type="paragraph" w:styleId="34">
    <w:name w:val="Intense Quote"/>
    <w:basedOn w:val="1"/>
    <w:next w:val="1"/>
    <w:link w:val="35"/>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5">
    <w:name w:val="明显引用 字符"/>
    <w:basedOn w:val="17"/>
    <w:link w:val="34"/>
    <w:qFormat/>
    <w:uiPriority w:val="30"/>
    <w:rPr>
      <w:i/>
      <w:iCs/>
      <w:color w:val="104862" w:themeColor="accent1" w:themeShade="BF"/>
    </w:rPr>
  </w:style>
  <w:style w:type="character" w:customStyle="1" w:styleId="36">
    <w:name w:val="Intense Reference"/>
    <w:basedOn w:val="17"/>
    <w:qFormat/>
    <w:uiPriority w:val="32"/>
    <w:rPr>
      <w:b/>
      <w:bCs/>
      <w:smallCaps/>
      <w:color w:val="104862" w:themeColor="accent1" w:themeShade="BF"/>
      <w:spacing w:val="5"/>
    </w:rPr>
  </w:style>
  <w:style w:type="character" w:customStyle="1" w:styleId="37">
    <w:name w:val="页眉 字符"/>
    <w:basedOn w:val="17"/>
    <w:link w:val="12"/>
    <w:qFormat/>
    <w:uiPriority w:val="99"/>
    <w:rPr>
      <w:sz w:val="18"/>
      <w:szCs w:val="18"/>
      <w14:ligatures w14:val="none"/>
    </w:rPr>
  </w:style>
  <w:style w:type="character" w:customStyle="1" w:styleId="38">
    <w:name w:val="页脚 字符"/>
    <w:basedOn w:val="17"/>
    <w:link w:val="11"/>
    <w:qFormat/>
    <w:uiPriority w:val="99"/>
    <w:rPr>
      <w:sz w:val="18"/>
      <w:szCs w:val="18"/>
      <w14:ligatures w14: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1167</Words>
  <Characters>1168</Characters>
  <Lines>55</Lines>
  <Paragraphs>39</Paragraphs>
  <TotalTime>96</TotalTime>
  <ScaleCrop>false</ScaleCrop>
  <LinksUpToDate>false</LinksUpToDate>
  <CharactersWithSpaces>2296</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2025-07-09T21:59:00Z</dcterms:created>
  <dc:creator>Qing Chen</dc:creator>
  <cp:lastModifiedBy>张瑞</cp:lastModifiedBy>
  <dcterms:modified xsi:type="dcterms:W3CDTF">2025-07-18T09:11:47Z</dcterms:modified>
  <cp:revision>107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CE11ACCE358E4E9998CE74F569CF7824</vt:lpwstr>
  </property>
</Properties>
</file>