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atLeast"/>
        <w:jc w:val="left"/>
        <w:rPr>
          <w:rFonts w:hint="eastAsia" w:ascii="方正小标宋_GBK" w:hAnsi="方正小标宋_GBK" w:eastAsia="方正小标宋_GBK" w:cs="方正小标宋_GBK"/>
          <w:b/>
          <w:bCs/>
          <w:sz w:val="28"/>
          <w:szCs w:val="28"/>
        </w:rPr>
      </w:pPr>
      <w:bookmarkStart w:id="0" w:name="_Hlk196600265"/>
      <w:bookmarkStart w:id="1" w:name="_Hlk193872513"/>
      <w:r>
        <w:rPr>
          <w:rFonts w:hint="eastAsia" w:ascii="方正小标宋_GBK" w:hAnsi="方正小标宋_GBK" w:eastAsia="方正小标宋_GBK" w:cs="方正小标宋_GBK"/>
          <w:b/>
          <w:bCs/>
          <w:sz w:val="28"/>
          <w:szCs w:val="28"/>
        </w:rPr>
        <w:t>附件</w:t>
      </w:r>
      <w:r>
        <w:rPr>
          <w:rFonts w:hint="eastAsia" w:ascii="方正小标宋_GBK" w:hAnsi="方正小标宋_GBK" w:eastAsia="方正小标宋_GBK" w:cs="方正小标宋_GBK"/>
          <w:b/>
          <w:bCs/>
          <w:sz w:val="28"/>
          <w:szCs w:val="28"/>
          <w:lang w:val="en-US" w:eastAsia="zh-CN"/>
        </w:rPr>
        <w:t>5</w:t>
      </w:r>
      <w:r>
        <w:rPr>
          <w:rFonts w:hint="eastAsia" w:ascii="方正小标宋_GBK" w:hAnsi="方正小标宋_GBK" w:eastAsia="方正小标宋_GBK" w:cs="方正小标宋_GBK"/>
          <w:b/>
          <w:bCs/>
          <w:sz w:val="28"/>
          <w:szCs w:val="28"/>
        </w:rPr>
        <w:t>：</w:t>
      </w:r>
    </w:p>
    <w:p>
      <w:pPr>
        <w:snapToGrid w:val="0"/>
        <w:spacing w:line="600" w:lineRule="atLeast"/>
        <w:jc w:val="center"/>
        <w:rPr>
          <w:rFonts w:hint="eastAsia" w:ascii="方正小标宋_GBK" w:hAnsi="方正小标宋_GBK" w:eastAsia="方正小标宋_GBK" w:cs="方正小标宋_GBK"/>
          <w:b/>
          <w:bCs/>
          <w:sz w:val="36"/>
          <w:szCs w:val="36"/>
        </w:rPr>
      </w:pPr>
      <w:bookmarkStart w:id="2" w:name="OLE_LINK76"/>
      <w:r>
        <w:rPr>
          <w:rFonts w:hint="eastAsia" w:ascii="方正小标宋_GBK" w:hAnsi="方正小标宋_GBK" w:eastAsia="方正小标宋_GBK" w:cs="方正小标宋_GBK"/>
          <w:b/>
          <w:bCs/>
          <w:sz w:val="36"/>
          <w:szCs w:val="36"/>
        </w:rPr>
        <w:t>沛县农村商业银行</w:t>
      </w:r>
      <w:bookmarkEnd w:id="0"/>
      <w:r>
        <w:rPr>
          <w:rFonts w:hint="eastAsia" w:ascii="方正小标宋_GBK" w:hAnsi="方正小标宋_GBK" w:eastAsia="方正小标宋_GBK" w:cs="方正小标宋_GBK"/>
          <w:b/>
          <w:bCs/>
          <w:sz w:val="36"/>
          <w:szCs w:val="36"/>
        </w:rPr>
        <w:t>保险代理业务</w:t>
      </w:r>
    </w:p>
    <w:p>
      <w:pPr>
        <w:snapToGrid w:val="0"/>
        <w:spacing w:line="600" w:lineRule="atLeast"/>
        <w:jc w:val="center"/>
        <w:rPr>
          <w:rFonts w:hint="eastAsia" w:ascii="方正小标宋_GBK" w:hAnsi="方正小标宋_GBK" w:eastAsia="方正小标宋_GBK" w:cs="方正小标宋_GBK"/>
          <w:b/>
          <w:bCs/>
          <w:sz w:val="36"/>
          <w:szCs w:val="36"/>
        </w:rPr>
      </w:pPr>
      <w:r>
        <w:rPr>
          <w:rFonts w:hint="eastAsia" w:ascii="方正小标宋_GBK" w:hAnsi="方正小标宋_GBK" w:eastAsia="方正小标宋_GBK" w:cs="方正小标宋_GBK"/>
          <w:b/>
          <w:bCs/>
          <w:sz w:val="36"/>
          <w:szCs w:val="36"/>
        </w:rPr>
        <w:t>产品管理</w:t>
      </w:r>
      <w:bookmarkEnd w:id="1"/>
      <w:r>
        <w:rPr>
          <w:rFonts w:hint="eastAsia" w:ascii="方正小标宋_GBK" w:hAnsi="方正小标宋_GBK" w:eastAsia="方正小标宋_GBK" w:cs="方正小标宋_GBK"/>
          <w:b/>
          <w:bCs/>
          <w:sz w:val="36"/>
          <w:szCs w:val="36"/>
        </w:rPr>
        <w:t>办法</w:t>
      </w:r>
    </w:p>
    <w:p>
      <w:pPr>
        <w:snapToGrid w:val="0"/>
        <w:spacing w:line="240" w:lineRule="exact"/>
        <w:ind w:firstLine="480" w:firstLineChars="200"/>
        <w:jc w:val="center"/>
        <w:rPr>
          <w:rFonts w:hint="eastAsia" w:ascii="微软雅黑" w:hAnsi="微软雅黑" w:eastAsia="微软雅黑" w:cs="方正小标宋_GBK"/>
          <w:b/>
          <w:bCs/>
          <w:sz w:val="24"/>
          <w:szCs w:val="24"/>
        </w:rPr>
      </w:pPr>
    </w:p>
    <w:p>
      <w:pPr>
        <w:snapToGrid w:val="0"/>
        <w:spacing w:line="276"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为规范代销保险产品管理，有效防控经营风险，优化保险产品结构，特制定本办法，作为《沛县农村商业银行股份有限公司保险代理业务规范管理规定》的配套附件执行。</w:t>
      </w:r>
    </w:p>
    <w:p>
      <w:pPr>
        <w:snapToGrid w:val="0"/>
        <w:spacing w:line="240" w:lineRule="exact"/>
        <w:jc w:val="center"/>
        <w:rPr>
          <w:rFonts w:hint="eastAsia" w:ascii="仿宋_GB2312" w:hAnsi="仿宋_GB2312" w:eastAsia="仿宋_GB2312" w:cs="仿宋_GB2312"/>
          <w:b/>
          <w:bCs/>
          <w:sz w:val="32"/>
          <w:szCs w:val="32"/>
        </w:rPr>
      </w:pPr>
    </w:p>
    <w:p>
      <w:pPr>
        <w:snapToGrid w:val="0"/>
        <w:spacing w:line="276" w:lineRule="auto"/>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保险产品分类</w:t>
      </w:r>
    </w:p>
    <w:p>
      <w:pPr>
        <w:snapToGrid w:val="0"/>
        <w:spacing w:line="276" w:lineRule="auto"/>
        <w:ind w:firstLine="643" w:firstLineChars="200"/>
        <w:jc w:val="left"/>
        <w:rPr>
          <w:rFonts w:hint="eastAsia" w:ascii="仿宋_GB2312" w:hAnsi="仿宋_GB2312" w:eastAsia="仿宋_GB2312" w:cs="仿宋_GB2312"/>
          <w:sz w:val="32"/>
          <w:szCs w:val="32"/>
        </w:rPr>
      </w:pPr>
      <w:bookmarkStart w:id="3" w:name="OLE_LINK7"/>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根据《人身保险产品分类监管规则》等相关监管规定，保险产品主要分为普通型人身保险产品（以下简称“普通型产品”）和人身保险新型产品（以下简称“新型产品”）。</w:t>
      </w:r>
    </w:p>
    <w:p>
      <w:pPr>
        <w:snapToGrid w:val="0"/>
        <w:spacing w:line="276"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普通型产品，主要包括人寿保险、年金保险、健康保险、意外伤害保险等保障责任清晰、费用结构明确的产品。</w:t>
      </w:r>
    </w:p>
    <w:p>
      <w:pPr>
        <w:snapToGrid w:val="0"/>
        <w:spacing w:line="276"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新型产品，主要包括分红保险、万能保险、投资连结保险等具有一定投资属性或收益分配机制的产品。</w:t>
      </w:r>
    </w:p>
    <w:p>
      <w:pPr>
        <w:snapToGrid w:val="0"/>
        <w:spacing w:line="276" w:lineRule="auto"/>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本行依据保险产品的功能定位、适配人群及销售策略，将代理销售的保险产品划分为以下四类：</w:t>
      </w:r>
    </w:p>
    <w:p>
      <w:pPr>
        <w:snapToGrid w:val="0"/>
        <w:spacing w:line="276"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（一）标准类产品：</w:t>
      </w:r>
      <w:bookmarkStart w:id="4" w:name="OLE_LINK54"/>
      <w:r>
        <w:rPr>
          <w:rFonts w:hint="eastAsia" w:ascii="仿宋_GB2312" w:hAnsi="仿宋_GB2312" w:eastAsia="仿宋_GB2312" w:cs="仿宋_GB2312"/>
          <w:sz w:val="32"/>
          <w:szCs w:val="32"/>
        </w:rPr>
        <w:t>指满足大众客户保障或中长期、安全资产配置需求、</w:t>
      </w:r>
      <w:bookmarkEnd w:id="4"/>
      <w:r>
        <w:rPr>
          <w:rFonts w:hint="eastAsia" w:ascii="仿宋_GB2312" w:hAnsi="仿宋_GB2312" w:eastAsia="仿宋_GB2312" w:cs="仿宋_GB2312"/>
          <w:sz w:val="32"/>
          <w:szCs w:val="32"/>
        </w:rPr>
        <w:t>产品结构成熟稳定、风险等级较低、条款清晰的产品。</w:t>
      </w:r>
    </w:p>
    <w:p>
      <w:pPr>
        <w:snapToGrid w:val="0"/>
        <w:spacing w:line="276" w:lineRule="auto"/>
        <w:ind w:firstLine="640" w:firstLineChars="200"/>
        <w:jc w:val="left"/>
        <w:rPr>
          <w:rFonts w:hint="eastAsia" w:ascii="仿宋_GB2312" w:hAnsi="仿宋_GB2312" w:eastAsia="仿宋_GB2312" w:cs="仿宋_GB2312"/>
          <w:sz w:val="32"/>
          <w:szCs w:val="32"/>
        </w:rPr>
      </w:pPr>
      <w:bookmarkStart w:id="5" w:name="OLE_LINK55"/>
      <w:r>
        <w:rPr>
          <w:rFonts w:hint="eastAsia" w:ascii="仿宋_GB2312" w:hAnsi="仿宋_GB2312" w:eastAsia="仿宋_GB2312" w:cs="仿宋_GB2312"/>
          <w:sz w:val="32"/>
          <w:szCs w:val="32"/>
        </w:rPr>
        <w:t>此类产品为全行常年核心主推产品，</w:t>
      </w:r>
      <w:bookmarkEnd w:id="5"/>
      <w:r>
        <w:rPr>
          <w:rFonts w:hint="eastAsia" w:ascii="仿宋_GB2312" w:hAnsi="仿宋_GB2312" w:eastAsia="仿宋_GB2312" w:cs="仿宋_GB2312"/>
          <w:sz w:val="32"/>
          <w:szCs w:val="32"/>
        </w:rPr>
        <w:t>统一营销策略，原则上全年在售。包括但不限于非分红型保险产品、分红型保险产品等。</w:t>
      </w:r>
    </w:p>
    <w:p>
      <w:pPr>
        <w:snapToGrid w:val="0"/>
        <w:spacing w:line="276" w:lineRule="auto"/>
        <w:ind w:firstLine="640" w:firstLineChars="200"/>
        <w:jc w:val="left"/>
        <w:rPr>
          <w:rFonts w:hint="eastAsia" w:ascii="仿宋_GB2312" w:hAnsi="仿宋_GB2312" w:eastAsia="仿宋_GB2312" w:cs="仿宋_GB2312"/>
          <w:sz w:val="32"/>
          <w:szCs w:val="32"/>
        </w:rPr>
      </w:pPr>
      <w:bookmarkStart w:id="6" w:name="OLE_LINK62"/>
      <w:r>
        <w:rPr>
          <w:rFonts w:hint="eastAsia" w:ascii="仿宋_GB2312" w:hAnsi="仿宋_GB2312" w:eastAsia="仿宋_GB2312" w:cs="仿宋_GB2312"/>
          <w:sz w:val="32"/>
          <w:szCs w:val="32"/>
        </w:rPr>
        <w:t>（二）特色化产品</w:t>
      </w:r>
    </w:p>
    <w:p>
      <w:pPr>
        <w:snapToGrid w:val="0"/>
        <w:spacing w:line="276"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指面向特定细分客群，如老年客户、女性客户、少儿客户等，或提供特定保障功能，如百万医疗险、百万驾乘险、宠物险等产品，具备一定创新性或差异化优势，适用于定期轮换投放、阶段性宣传销售，也可作为标准类产品的有益补充，长期在售，用于满足多样化客户需求、优化产品结构，提升销售弹性与客户匹配度。</w:t>
      </w:r>
    </w:p>
    <w:bookmarkEnd w:id="6"/>
    <w:p>
      <w:pPr>
        <w:snapToGrid w:val="0"/>
        <w:spacing w:line="276"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（三）创新试点类产品：指本行或合作保司首次推出的市场创新型产品或具有独特保障形态的新型产品，在风控、合规部门评估通过后进入试运行期。</w:t>
      </w:r>
    </w:p>
    <w:p>
      <w:pPr>
        <w:snapToGrid w:val="0"/>
        <w:spacing w:line="276"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此类产品须在销售期内密切监测客户反馈、销售情况及风险表现，并根据评估结果决定是否纳入标准类产品。</w:t>
      </w:r>
    </w:p>
    <w:p>
      <w:pPr>
        <w:snapToGrid w:val="0"/>
        <w:spacing w:line="276" w:lineRule="auto"/>
        <w:ind w:firstLine="640" w:firstLineChars="200"/>
        <w:jc w:val="left"/>
        <w:rPr>
          <w:rFonts w:hint="eastAsia" w:ascii="仿宋_GB2312" w:hAnsi="仿宋_GB2312" w:eastAsia="仿宋_GB2312" w:cs="仿宋_GB2312"/>
          <w:sz w:val="32"/>
          <w:szCs w:val="32"/>
        </w:rPr>
      </w:pPr>
      <w:bookmarkStart w:id="7" w:name="OLE_LINK56"/>
      <w:r>
        <w:rPr>
          <w:rFonts w:hint="eastAsia" w:ascii="仿宋_GB2312" w:hAnsi="仿宋_GB2312" w:eastAsia="仿宋_GB2312" w:cs="仿宋_GB2312"/>
          <w:sz w:val="32"/>
          <w:szCs w:val="32"/>
        </w:rPr>
        <w:t>（四）节点性产品 (含业务规模拉动型产品)：是指配合本行重大业务节点、集中营销活动或阶段性业务目标，在特定时点限时或限量推出的产品。</w:t>
      </w:r>
    </w:p>
    <w:p>
      <w:pPr>
        <w:snapToGrid w:val="0"/>
        <w:spacing w:line="276"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此类产品销售周期原则上不超过3个月或售罄即止，重点在于快速拉动业务规模或完成特定任务指标。</w:t>
      </w:r>
    </w:p>
    <w:bookmarkEnd w:id="3"/>
    <w:bookmarkEnd w:id="7"/>
    <w:p>
      <w:pPr>
        <w:snapToGrid w:val="0"/>
        <w:spacing w:line="240" w:lineRule="exact"/>
        <w:jc w:val="center"/>
        <w:rPr>
          <w:rFonts w:hint="eastAsia" w:ascii="仿宋_GB2312" w:hAnsi="仿宋_GB2312" w:eastAsia="仿宋_GB2312" w:cs="仿宋_GB2312"/>
          <w:b/>
          <w:bCs/>
          <w:sz w:val="32"/>
          <w:szCs w:val="32"/>
        </w:rPr>
      </w:pPr>
    </w:p>
    <w:p>
      <w:pPr>
        <w:snapToGrid w:val="0"/>
        <w:spacing w:line="276" w:lineRule="auto"/>
        <w:jc w:val="center"/>
        <w:rPr>
          <w:rFonts w:hint="eastAsia" w:ascii="仿宋_GB2312" w:hAnsi="仿宋_GB2312" w:eastAsia="仿宋_GB2312" w:cs="仿宋_GB2312"/>
          <w:b/>
          <w:bCs/>
          <w:sz w:val="32"/>
          <w:szCs w:val="32"/>
        </w:rPr>
      </w:pPr>
      <w:bookmarkStart w:id="8" w:name="OLE_LINK57"/>
      <w:r>
        <w:rPr>
          <w:rFonts w:hint="eastAsia" w:ascii="仿宋_GB2312" w:hAnsi="仿宋_GB2312" w:eastAsia="仿宋_GB2312" w:cs="仿宋_GB2312"/>
          <w:b/>
          <w:bCs/>
          <w:sz w:val="32"/>
          <w:szCs w:val="32"/>
        </w:rPr>
        <w:t>第二章 保险风险分级与客户适配管理</w:t>
      </w:r>
    </w:p>
    <w:p>
      <w:pPr>
        <w:snapToGrid w:val="0"/>
        <w:spacing w:line="600" w:lineRule="atLeast"/>
        <w:ind w:firstLine="643" w:firstLineChars="200"/>
        <w:jc w:val="left"/>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本行依据《</w:t>
      </w:r>
      <w:bookmarkStart w:id="9" w:name="OLE_LINK6"/>
      <w:r>
        <w:rPr>
          <w:rFonts w:hint="eastAsia" w:ascii="仿宋_GB2312" w:hAnsi="仿宋_GB2312" w:eastAsia="仿宋_GB2312" w:cs="仿宋_GB2312"/>
          <w:sz w:val="32"/>
          <w:szCs w:val="32"/>
        </w:rPr>
        <w:t>沛县农商银行保险产品风险等级与客户适配管理办法</w:t>
      </w:r>
      <w:bookmarkEnd w:id="9"/>
      <w:r>
        <w:rPr>
          <w:rFonts w:hint="eastAsia" w:ascii="仿宋_GB2312" w:hAnsi="仿宋_GB2312" w:eastAsia="仿宋_GB2312" w:cs="仿宋_GB2312"/>
          <w:sz w:val="32"/>
          <w:szCs w:val="32"/>
        </w:rPr>
        <w:t>》，按风险程度从低到高将保险产品风险划分为R1-R4四个风险等级，分别为低风险、较低风险、中等风险、较高风险。</w:t>
      </w:r>
    </w:p>
    <w:p>
      <w:pPr>
        <w:snapToGrid w:val="0"/>
        <w:spacing w:line="276" w:lineRule="auto"/>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本行依据《沛县农商银行保险产品风险等级与客户适配管理办法》，按客户风险承受能力从低到高将客户风险划分为C1-C4四个等级，分别为保守型、稳健型、平衡型、进取型。</w:t>
      </w:r>
    </w:p>
    <w:p>
      <w:pPr>
        <w:snapToGrid w:val="0"/>
        <w:spacing w:line="276" w:lineRule="auto"/>
        <w:ind w:firstLine="643"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本行保险产品销售应严格遵循“产品风险等级 ≤ 客户风险承受能力等级”的适配性销售原则。严禁出现产品错配、超配销售等违反适配性管理要求的行为；若发现，应及时报告并启动调查问责程序。</w:t>
      </w:r>
    </w:p>
    <w:bookmarkEnd w:id="8"/>
    <w:p>
      <w:pPr>
        <w:snapToGrid w:val="0"/>
        <w:spacing w:line="240" w:lineRule="exact"/>
        <w:ind w:firstLine="640" w:firstLineChars="200"/>
        <w:jc w:val="left"/>
        <w:rPr>
          <w:rFonts w:hint="eastAsia" w:ascii="仿宋_GB2312" w:hAnsi="仿宋_GB2312" w:eastAsia="仿宋_GB2312" w:cs="仿宋_GB2312"/>
          <w:sz w:val="32"/>
          <w:szCs w:val="32"/>
        </w:rPr>
      </w:pPr>
    </w:p>
    <w:p>
      <w:pPr>
        <w:snapToGrid w:val="0"/>
        <w:spacing w:line="276" w:lineRule="auto"/>
        <w:ind w:firstLine="643" w:firstLineChars="200"/>
        <w:jc w:val="center"/>
        <w:rPr>
          <w:rFonts w:hint="eastAsia" w:ascii="仿宋_GB2312" w:hAnsi="仿宋_GB2312" w:eastAsia="仿宋_GB2312" w:cs="仿宋_GB2312"/>
          <w:b/>
          <w:bCs/>
          <w:sz w:val="32"/>
          <w:szCs w:val="32"/>
        </w:rPr>
      </w:pPr>
      <w:bookmarkStart w:id="10" w:name="OLE_LINK16"/>
      <w:r>
        <w:rPr>
          <w:rFonts w:hint="eastAsia" w:ascii="仿宋_GB2312" w:hAnsi="仿宋_GB2312" w:eastAsia="仿宋_GB2312" w:cs="仿宋_GB2312"/>
          <w:b/>
          <w:bCs/>
          <w:sz w:val="32"/>
          <w:szCs w:val="32"/>
        </w:rPr>
        <w:t>第三章 合作机构产品准入管理</w:t>
      </w:r>
    </w:p>
    <w:p>
      <w:pPr>
        <w:snapToGrid w:val="0"/>
        <w:spacing w:line="276" w:lineRule="auto"/>
        <w:ind w:firstLine="643" w:firstLineChars="200"/>
        <w:jc w:val="left"/>
        <w:rPr>
          <w:rFonts w:hint="eastAsia" w:ascii="仿宋_GB2312" w:hAnsi="仿宋_GB2312" w:eastAsia="仿宋_GB2312" w:cs="仿宋_GB2312"/>
          <w:sz w:val="32"/>
          <w:szCs w:val="32"/>
        </w:rPr>
      </w:pPr>
      <w:bookmarkStart w:id="11" w:name="OLE_LINK1"/>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本行与保司开展保险代理业务合作时，合作保司应履行以下义务：</w:t>
      </w:r>
    </w:p>
    <w:p>
      <w:pPr>
        <w:ind w:firstLine="640" w:firstLineChars="200"/>
        <w:rPr>
          <w:rFonts w:hint="eastAsia" w:ascii="仿宋_GB2312" w:hAnsi="仿宋_GB2312" w:eastAsia="仿宋_GB2312" w:cs="仿宋_GB2312"/>
          <w:sz w:val="32"/>
          <w:szCs w:val="32"/>
        </w:rPr>
      </w:pPr>
      <w:bookmarkStart w:id="12" w:name="OLE_LINK2"/>
      <w:r>
        <w:rPr>
          <w:rFonts w:hint="eastAsia" w:ascii="仿宋_GB2312" w:hAnsi="仿宋_GB2312" w:eastAsia="仿宋_GB2312" w:cs="仿宋_GB2312"/>
          <w:sz w:val="32"/>
          <w:szCs w:val="32"/>
        </w:rPr>
        <w:t>（一）提供经监管部门审批、注册或备案的、符合代理销售要求的合规保险产品；</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（二）按照本行要求，完整、及时提交产品准入申请资料及后续变更资料；</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（三）对因产品设计缺陷、信息披露不充分等原因导致的客户投诉或经济损失，依法依规承担相应责任。</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合作保司向本行申请产品准入时，应提交以下资料：</w:t>
      </w:r>
    </w:p>
    <w:p>
      <w:pPr>
        <w:widowControl/>
        <w:shd w:val="clear" w:color="auto" w:fill="FEFEFE"/>
        <w:spacing w:line="5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（一）经监管部门或者其授权机构审批、注册、备案或登记的有效凭证，或者取得符合规定的登记编码；</w:t>
      </w:r>
    </w:p>
    <w:p>
      <w:pPr>
        <w:widowControl/>
        <w:shd w:val="clear" w:color="auto" w:fill="FEFEFE"/>
        <w:spacing w:line="5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（二）产品条款、产品说明书、保单利益展示、产品费率表、标准课件、产品上线配置资料等；</w:t>
      </w:r>
    </w:p>
    <w:p>
      <w:pPr>
        <w:widowControl/>
        <w:shd w:val="clear" w:color="auto" w:fill="FEFEFE"/>
        <w:spacing w:line="5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）产品分类类别、风险等级及适配客户风险等级说明；</w:t>
      </w:r>
    </w:p>
    <w:p>
      <w:pPr>
        <w:widowControl/>
        <w:shd w:val="clear" w:color="auto" w:fill="FEFEFE"/>
        <w:spacing w:line="5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）若申报产品为分红型、万能型等新型产品，还应提供以下补充材料：</w:t>
      </w:r>
    </w:p>
    <w:p>
      <w:pPr>
        <w:widowControl/>
        <w:shd w:val="clear" w:color="auto" w:fill="FEFEFE"/>
        <w:spacing w:line="5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保司投资方向、渠道与资金运用说明；</w:t>
      </w:r>
    </w:p>
    <w:p>
      <w:pPr>
        <w:widowControl/>
        <w:shd w:val="clear" w:color="auto" w:fill="FEFEFE"/>
        <w:spacing w:line="5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近三年分红实现率、万能结算利率等历史经营数据；</w:t>
      </w:r>
    </w:p>
    <w:p>
      <w:pPr>
        <w:widowControl/>
        <w:shd w:val="clear" w:color="auto" w:fill="FEFEFE"/>
        <w:spacing w:line="5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 与账户投资管理及经营能力相关的说明材料；</w:t>
      </w:r>
    </w:p>
    <w:p>
      <w:pPr>
        <w:widowControl/>
        <w:shd w:val="clear" w:color="auto" w:fill="FEFEFE"/>
        <w:spacing w:line="560" w:lineRule="atLeas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）如部分材料确因监管规定或其他合理原因无法提供，合作保司应出具书面情况说明，阐明原因并承担资料真实性、完整性责任。</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color w:val="auto"/>
          <w:sz w:val="32"/>
          <w:szCs w:val="32"/>
        </w:rPr>
        <w:t>第八条</w:t>
      </w:r>
      <w:r>
        <w:rPr>
          <w:rFonts w:hint="eastAsia" w:ascii="仿宋_GB2312" w:hAnsi="仿宋_GB2312" w:eastAsia="仿宋_GB2312" w:cs="仿宋_GB2312"/>
          <w:color w:val="auto"/>
          <w:sz w:val="32"/>
          <w:szCs w:val="32"/>
        </w:rPr>
        <w:t xml:space="preserve"> 保险产品准入流程</w:t>
      </w:r>
    </w:p>
    <w:bookmarkEnd w:id="10"/>
    <w:bookmarkEnd w:id="11"/>
    <w:bookmarkEnd w:id="12"/>
    <w:p>
      <w:pPr>
        <w:ind w:firstLine="640" w:firstLineChars="200"/>
        <w:rPr>
          <w:rFonts w:hint="eastAsia" w:ascii="仿宋_GB2312" w:hAnsi="仿宋_GB2312" w:eastAsia="仿宋_GB2312" w:cs="仿宋_GB2312"/>
          <w:color w:val="auto"/>
          <w:sz w:val="32"/>
          <w:szCs w:val="32"/>
        </w:rPr>
      </w:pPr>
      <w:bookmarkStart w:id="13" w:name="OLE_LINK5"/>
      <w:r>
        <w:rPr>
          <w:rFonts w:hint="eastAsia" w:ascii="仿宋_GB2312" w:hAnsi="仿宋_GB2312" w:eastAsia="仿宋_GB2312" w:cs="仿宋_GB2312"/>
          <w:color w:val="auto"/>
          <w:sz w:val="32"/>
          <w:szCs w:val="32"/>
        </w:rPr>
        <w:t>（一）产品评估与内部意见形成：</w:t>
      </w:r>
    </w:p>
    <w:p>
      <w:pPr>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零售金融部应根据合作保司报送资料对保险产品条款、收益演示、保单利益、历史经营、宣传材料等情况进行调查、分析，结合本行客群等特点，形成独立、客观的产品准入评估报告</w:t>
      </w:r>
      <w:r>
        <w:rPr>
          <w:rFonts w:hint="eastAsia" w:ascii="仿宋_GB2312" w:hAnsi="仿宋_GB2312" w:eastAsia="仿宋_GB2312" w:cs="仿宋_GB2312"/>
          <w:color w:val="auto"/>
          <w:sz w:val="32"/>
          <w:szCs w:val="32"/>
          <w:lang w:eastAsia="zh-CN"/>
        </w:rPr>
        <w:t>。</w:t>
      </w:r>
    </w:p>
    <w:bookmarkEnd w:id="13"/>
    <w:p>
      <w:pPr>
        <w:ind w:firstLine="640" w:firstLineChars="200"/>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（二）风险</w:t>
      </w:r>
      <w:r>
        <w:rPr>
          <w:rFonts w:hint="eastAsia" w:ascii="仿宋_GB2312" w:hAnsi="仿宋_GB2312" w:eastAsia="仿宋_GB2312" w:cs="仿宋_GB2312"/>
          <w:color w:val="auto"/>
          <w:sz w:val="32"/>
          <w:szCs w:val="32"/>
          <w:lang w:val="en-US" w:eastAsia="zh-CN"/>
        </w:rPr>
        <w:t>管理部审核</w:t>
      </w:r>
    </w:p>
    <w:p>
      <w:p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保险产品准入评估报告经由零售金融部经办人员、部门负责人员逐级审核后，报送风险管理部出具风险审查意见。</w:t>
      </w:r>
    </w:p>
    <w:p>
      <w:pPr>
        <w:numPr>
          <w:ilvl w:val="0"/>
          <w:numId w:val="1"/>
        </w:numPr>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合规管理部</w:t>
      </w:r>
      <w:r>
        <w:rPr>
          <w:rFonts w:hint="eastAsia" w:ascii="仿宋_GB2312" w:hAnsi="仿宋_GB2312" w:eastAsia="仿宋_GB2312" w:cs="仿宋_GB2312"/>
          <w:color w:val="auto"/>
          <w:sz w:val="32"/>
          <w:szCs w:val="32"/>
        </w:rPr>
        <w:t>审核</w:t>
      </w:r>
    </w:p>
    <w:p>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风险管理部出具风险审查意见</w:t>
      </w:r>
      <w:r>
        <w:rPr>
          <w:rFonts w:hint="eastAsia" w:ascii="仿宋_GB2312" w:hAnsi="仿宋_GB2312" w:eastAsia="仿宋_GB2312" w:cs="仿宋_GB2312"/>
          <w:color w:val="auto"/>
          <w:sz w:val="32"/>
          <w:szCs w:val="32"/>
          <w:lang w:val="en-US" w:eastAsia="zh-CN"/>
        </w:rPr>
        <w:t>后报送合规管理部审核并出具审核意见。</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四</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完成</w:t>
      </w:r>
      <w:r>
        <w:rPr>
          <w:rFonts w:hint="eastAsia" w:ascii="仿宋_GB2312" w:hAnsi="仿宋_GB2312" w:eastAsia="仿宋_GB2312" w:cs="仿宋_GB2312"/>
          <w:color w:val="auto"/>
          <w:sz w:val="32"/>
          <w:szCs w:val="32"/>
        </w:rPr>
        <w:t>准入</w:t>
      </w:r>
      <w:r>
        <w:rPr>
          <w:rFonts w:hint="eastAsia" w:ascii="仿宋_GB2312" w:hAnsi="仿宋_GB2312" w:eastAsia="仿宋_GB2312" w:cs="仿宋_GB2312"/>
          <w:color w:val="auto"/>
          <w:sz w:val="32"/>
          <w:szCs w:val="32"/>
          <w:lang w:val="en-US" w:eastAsia="zh-CN"/>
        </w:rPr>
        <w:t>流程</w:t>
      </w:r>
    </w:p>
    <w:p>
      <w:pPr>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经风险管理部、合规管理部审核</w:t>
      </w:r>
      <w:r>
        <w:rPr>
          <w:rFonts w:hint="eastAsia" w:ascii="仿宋_GB2312" w:hAnsi="仿宋_GB2312" w:eastAsia="仿宋_GB2312" w:cs="仿宋_GB2312"/>
          <w:color w:val="auto"/>
          <w:sz w:val="32"/>
          <w:szCs w:val="32"/>
        </w:rPr>
        <w:t>通过后完成产品准入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相关准入材料留档。</w:t>
      </w:r>
    </w:p>
    <w:p>
      <w:pPr>
        <w:snapToGrid w:val="0"/>
        <w:spacing w:line="240" w:lineRule="exact"/>
        <w:ind w:firstLine="640" w:firstLineChars="200"/>
        <w:jc w:val="left"/>
        <w:rPr>
          <w:rFonts w:hint="eastAsia" w:ascii="仿宋_GB2312" w:hAnsi="仿宋_GB2312" w:eastAsia="仿宋_GB2312" w:cs="仿宋_GB2312"/>
          <w:sz w:val="32"/>
          <w:szCs w:val="32"/>
        </w:rPr>
      </w:pPr>
    </w:p>
    <w:p>
      <w:pPr>
        <w:snapToGrid w:val="0"/>
        <w:spacing w:line="276" w:lineRule="auto"/>
        <w:ind w:firstLine="643" w:firstLineChars="200"/>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 产品销量限额管理</w:t>
      </w:r>
    </w:p>
    <w:p>
      <w:pPr>
        <w:ind w:firstLine="643" w:firstLineChars="200"/>
        <w:rPr>
          <w:rFonts w:hint="eastAsia" w:ascii="仿宋_GB2312" w:hAnsi="仿宋_GB2312" w:eastAsia="仿宋_GB2312" w:cs="仿宋_GB2312"/>
          <w:sz w:val="32"/>
          <w:szCs w:val="32"/>
        </w:rPr>
      </w:pPr>
      <w:bookmarkStart w:id="14" w:name="OLE_LINK75"/>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为防范业务集中度风险、保障产品结构合理性、提升销售合规性，本行对在售代销</w:t>
      </w:r>
      <w:r>
        <w:rPr>
          <w:rFonts w:hint="eastAsia" w:ascii="仿宋_GB2312" w:hAnsi="仿宋_GB2312" w:eastAsia="仿宋_GB2312" w:cs="仿宋_GB2312"/>
          <w:sz w:val="30"/>
          <w:szCs w:val="30"/>
          <w:lang w:val="en-US" w:eastAsia="zh-CN"/>
        </w:rPr>
        <w:t>复</w:t>
      </w:r>
      <w:r>
        <w:rPr>
          <w:rFonts w:hint="eastAsia" w:ascii="仿宋_GB2312" w:hAnsi="仿宋_GB2312" w:eastAsia="仿宋_GB2312" w:cs="仿宋_GB2312"/>
          <w:sz w:val="32"/>
          <w:szCs w:val="32"/>
          <w:lang w:val="en-US" w:eastAsia="zh-CN"/>
        </w:rPr>
        <w:t>杂性</w:t>
      </w:r>
      <w:r>
        <w:rPr>
          <w:rFonts w:hint="eastAsia" w:ascii="仿宋_GB2312" w:hAnsi="仿宋_GB2312" w:eastAsia="仿宋_GB2312" w:cs="仿宋_GB2312"/>
          <w:sz w:val="32"/>
          <w:szCs w:val="32"/>
        </w:rPr>
        <w:t>保险产品实施销量限额管理机制。</w:t>
      </w:r>
    </w:p>
    <w:p>
      <w:pPr>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当出现下列任一情形时，零售金融部应启动</w:t>
      </w:r>
      <w:r>
        <w:rPr>
          <w:rFonts w:hint="eastAsia" w:ascii="仿宋_GB2312" w:hAnsi="仿宋_GB2312" w:eastAsia="仿宋_GB2312" w:cs="仿宋_GB2312"/>
          <w:sz w:val="32"/>
          <w:szCs w:val="32"/>
          <w:lang w:val="en-US" w:eastAsia="zh-CN"/>
        </w:rPr>
        <w:t>复杂性</w:t>
      </w:r>
      <w:r>
        <w:rPr>
          <w:rFonts w:hint="eastAsia" w:ascii="仿宋_GB2312" w:hAnsi="仿宋_GB2312" w:eastAsia="仿宋_GB2312" w:cs="仿宋_GB2312"/>
          <w:sz w:val="32"/>
          <w:szCs w:val="32"/>
        </w:rPr>
        <w:t>产品销量限额管理机制</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（一）单一产品销量在某一自然月占总保费比重超过60%；</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（二）产品销售增长异常迅速，存在销售误导、操作风险隐患；</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（三）产品退保率、投诉率显著高于全行均值；</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（四）监管机构通报、现场检查指出该产品存在问题；</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（五）产品所属保险公司被纳入重点监管观察名单。</w:t>
      </w:r>
    </w:p>
    <w:p>
      <w:p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限额管理可采取以下方式单独或组合实施：</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（一）设定销售件数或保费金额上限；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（二）暂停产品上线或新单受理权限；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（三）调整该产品销售计价规则，降低激励强度；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（四）暂停相关产品营销支持和培训资源配置；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（五）督促保险公司优化产品结构、丰富组合配置。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如保险公司拒绝配合整改或反复触发限额条件，本行可暂停其后续新产品准入。</w:t>
      </w:r>
    </w:p>
    <w:p>
      <w:pPr>
        <w:snapToGrid w:val="0"/>
        <w:spacing w:line="240" w:lineRule="exact"/>
        <w:ind w:firstLine="643" w:firstLineChars="200"/>
        <w:jc w:val="center"/>
        <w:rPr>
          <w:rFonts w:hint="eastAsia" w:ascii="仿宋_GB2312" w:hAnsi="仿宋_GB2312" w:eastAsia="仿宋_GB2312" w:cs="仿宋_GB2312"/>
          <w:b/>
          <w:bCs/>
          <w:sz w:val="32"/>
          <w:szCs w:val="32"/>
        </w:rPr>
      </w:pPr>
    </w:p>
    <w:p>
      <w:pPr>
        <w:snapToGrid w:val="0"/>
        <w:spacing w:line="276" w:lineRule="auto"/>
        <w:ind w:firstLine="643" w:firstLineChars="200"/>
        <w:jc w:val="center"/>
        <w:rPr>
          <w:rFonts w:hint="eastAsia" w:ascii="仿宋_GB2312" w:hAnsi="仿宋_GB2312" w:eastAsia="仿宋_GB2312" w:cs="仿宋_GB2312"/>
          <w:b/>
          <w:bCs/>
          <w:sz w:val="32"/>
          <w:szCs w:val="32"/>
        </w:rPr>
      </w:pPr>
      <w:bookmarkStart w:id="15" w:name="OLE_LINK3"/>
      <w:r>
        <w:rPr>
          <w:rFonts w:hint="eastAsia" w:ascii="仿宋_GB2312" w:hAnsi="仿宋_GB2312" w:eastAsia="仿宋_GB2312" w:cs="仿宋_GB2312"/>
          <w:b/>
          <w:bCs/>
          <w:sz w:val="32"/>
          <w:szCs w:val="32"/>
        </w:rPr>
        <w:t>第六章 监督抽查与责任追溯管理</w:t>
      </w:r>
    </w:p>
    <w:bookmarkEnd w:id="15"/>
    <w:p>
      <w:pPr>
        <w:overflowPunct w:val="0"/>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二</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产品销售监督机制 </w:t>
      </w:r>
    </w:p>
    <w:p>
      <w:pPr>
        <w:overflowPunct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零售金融部每季度组织不少于1次产品销售行为抽查，对重点产品抽查不少于每半年一次，抽查内容应包括风险提示落实、客户匹配情况、双录执行等，抽查记录纳入支行季度绩效与合规考评依据。</w:t>
      </w:r>
    </w:p>
    <w:p>
      <w:pPr>
        <w:overflowPunct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重点产品包含但不仅限于：</w:t>
      </w:r>
    </w:p>
    <w:p>
      <w:pPr>
        <w:overflowPunct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（一）销售增长快速、风险等级较高的新上线产品；</w:t>
      </w:r>
    </w:p>
    <w:p>
      <w:pPr>
        <w:overflowPunct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（二）客户投诉集中、退保率偏高产品；</w:t>
      </w:r>
    </w:p>
    <w:p>
      <w:pPr>
        <w:overflowPunct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（三）产品结构复杂、条款理解难度较大的产品。</w:t>
      </w:r>
    </w:p>
    <w:p>
      <w:pPr>
        <w:overflowPunct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抽查发现问题后，营业单位于10个工作日内提交整改反馈，并接受二次检查。</w:t>
      </w:r>
    </w:p>
    <w:p>
      <w:pPr>
        <w:overflowPunct w:val="0"/>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违规责任追溯</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出现以下任一行为的，视情节轻重启动责任追溯机制，按制度执行处罚流程，并纳入合规考核：</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（一）销售行为未匹配客户风险等级，存在明显错配情况；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（二）违规开展高龄客户销售，未完成超龄投保确认、投保提示及录音录像等；</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（三）绕过产品准入流程，私自上线、推荐或修改销售产品内容；</w:t>
      </w:r>
    </w:p>
    <w:p>
      <w:pPr>
        <w:snapToGrid w:val="0"/>
        <w:spacing w:line="240" w:lineRule="exact"/>
        <w:ind w:firstLine="643" w:firstLineChars="200"/>
        <w:jc w:val="center"/>
        <w:rPr>
          <w:rFonts w:hint="eastAsia" w:ascii="仿宋_GB2312" w:hAnsi="仿宋_GB2312" w:eastAsia="仿宋_GB2312" w:cs="仿宋_GB2312"/>
          <w:b/>
          <w:bCs/>
          <w:sz w:val="32"/>
          <w:szCs w:val="32"/>
        </w:rPr>
      </w:pPr>
    </w:p>
    <w:p>
      <w:pPr>
        <w:snapToGrid w:val="0"/>
        <w:spacing w:line="276" w:lineRule="auto"/>
        <w:ind w:firstLine="643" w:firstLineChars="200"/>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第七章 附则</w:t>
      </w:r>
    </w:p>
    <w:bookmarkEnd w:id="2"/>
    <w:bookmarkEnd w:id="14"/>
    <w:p>
      <w:pPr>
        <w:spacing w:line="360" w:lineRule="auto"/>
        <w:ind w:firstLine="643" w:firstLineChars="200"/>
        <w:rPr>
          <w:rFonts w:hint="eastAsia" w:ascii="仿宋_GB2312" w:hAnsi="仿宋_GB2312" w:eastAsia="仿宋_GB2312" w:cs="仿宋_GB2312"/>
          <w:sz w:val="32"/>
          <w:szCs w:val="32"/>
          <w:lang w:eastAsia="zh-CN"/>
        </w:rPr>
      </w:pPr>
      <w:bookmarkStart w:id="16" w:name="OLE_LINK25"/>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bookmarkEnd w:id="16"/>
      <w:r>
        <w:rPr>
          <w:rFonts w:hint="eastAsia" w:ascii="仿宋_GB2312" w:hAnsi="仿宋_GB2312" w:eastAsia="仿宋_GB2312" w:cs="仿宋_GB2312"/>
          <w:sz w:val="32"/>
          <w:szCs w:val="32"/>
        </w:rPr>
        <w:t>本管理</w:t>
      </w:r>
      <w:r>
        <w:rPr>
          <w:rFonts w:hint="eastAsia" w:ascii="仿宋_GB2312" w:hAnsi="仿宋_GB2312" w:eastAsia="仿宋_GB2312" w:cs="仿宋_GB2312"/>
          <w:sz w:val="32"/>
          <w:szCs w:val="32"/>
          <w:lang w:val="en-US" w:eastAsia="zh-CN"/>
        </w:rPr>
        <w:t>办法</w:t>
      </w:r>
      <w:r>
        <w:rPr>
          <w:rFonts w:hint="eastAsia" w:ascii="仿宋_GB2312" w:hAnsi="仿宋_GB2312" w:eastAsia="仿宋_GB2312" w:cs="仿宋_GB2312"/>
          <w:sz w:val="32"/>
          <w:szCs w:val="32"/>
        </w:rPr>
        <w:t>由江苏沛县农村商业银行股份有限公司负责</w:t>
      </w:r>
      <w:r>
        <w:rPr>
          <w:rFonts w:hint="eastAsia" w:ascii="仿宋_GB2312" w:hAnsi="仿宋_GB2312" w:eastAsia="仿宋_GB2312" w:cs="仿宋_GB2312"/>
          <w:sz w:val="32"/>
          <w:szCs w:val="32"/>
          <w:lang w:val="en-US" w:eastAsia="zh-CN"/>
        </w:rPr>
        <w:t>制定、修改和</w:t>
      </w:r>
      <w:r>
        <w:rPr>
          <w:rFonts w:hint="eastAsia" w:ascii="仿宋_GB2312" w:hAnsi="仿宋_GB2312" w:eastAsia="仿宋_GB2312" w:cs="仿宋_GB2312"/>
          <w:sz w:val="32"/>
          <w:szCs w:val="32"/>
        </w:rPr>
        <w:t>解释</w:t>
      </w:r>
      <w:r>
        <w:rPr>
          <w:rFonts w:hint="eastAsia" w:ascii="仿宋_GB2312" w:hAnsi="仿宋_GB2312" w:eastAsia="仿宋_GB2312" w:cs="仿宋_GB2312"/>
          <w:sz w:val="32"/>
          <w:szCs w:val="32"/>
          <w:lang w:eastAsia="zh-CN"/>
        </w:rPr>
        <w:t>。</w:t>
      </w:r>
    </w:p>
    <w:p>
      <w:pPr>
        <w:spacing w:line="360" w:lineRule="auto"/>
        <w:ind w:firstLine="643"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rPr>
        <w:t>第十</w:t>
      </w: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ascii="仿宋_GB2312" w:hAnsi="仿宋_GB2312" w:eastAsia="仿宋_GB2312" w:cs="仿宋_GB2312"/>
          <w:sz w:val="32"/>
          <w:szCs w:val="32"/>
        </w:rPr>
        <w:t>本规定自印发之日起施行</w:t>
      </w:r>
      <w:r>
        <w:rPr>
          <w:rFonts w:hint="eastAsia" w:ascii="仿宋_GB2312" w:hAnsi="仿宋_GB2312" w:eastAsia="仿宋_GB2312" w:cs="仿宋_GB2312"/>
          <w:sz w:val="32"/>
          <w:szCs w:val="32"/>
          <w:lang w:eastAsia="zh-CN"/>
        </w:rPr>
        <w:t>。</w:t>
      </w:r>
    </w:p>
    <w:p>
      <w:pPr>
        <w:spacing w:line="360" w:lineRule="auto"/>
        <w:ind w:firstLine="640" w:firstLineChars="200"/>
        <w:rPr>
          <w:rFonts w:hint="eastAsia" w:ascii="仿宋_GB2312" w:hAnsi="仿宋_GB2312" w:eastAsia="仿宋_GB2312" w:cs="仿宋_GB2312"/>
          <w:sz w:val="32"/>
          <w:szCs w:val="32"/>
        </w:rPr>
      </w:pPr>
    </w:p>
    <w:sectPr>
      <w:headerReference r:id="rId5" w:type="default"/>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roma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bookmarkStart w:id="17" w:name="_GoBack"/>
    <w:bookmarkEnd w:id="17"/>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BFFF81"/>
    <w:multiLevelType w:val="singleLevel"/>
    <w:tmpl w:val="D0BFFF81"/>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C92"/>
    <w:rsid w:val="000008A8"/>
    <w:rsid w:val="000040B9"/>
    <w:rsid w:val="00007547"/>
    <w:rsid w:val="00015D3C"/>
    <w:rsid w:val="0003439B"/>
    <w:rsid w:val="0003653F"/>
    <w:rsid w:val="000403D5"/>
    <w:rsid w:val="00040E3A"/>
    <w:rsid w:val="00047BC0"/>
    <w:rsid w:val="000576BF"/>
    <w:rsid w:val="00061A76"/>
    <w:rsid w:val="00061F05"/>
    <w:rsid w:val="000665F9"/>
    <w:rsid w:val="000672BE"/>
    <w:rsid w:val="00070122"/>
    <w:rsid w:val="00071E62"/>
    <w:rsid w:val="00076396"/>
    <w:rsid w:val="00085B24"/>
    <w:rsid w:val="00090DFE"/>
    <w:rsid w:val="000919CB"/>
    <w:rsid w:val="00096431"/>
    <w:rsid w:val="00096C92"/>
    <w:rsid w:val="000A07AB"/>
    <w:rsid w:val="000B1630"/>
    <w:rsid w:val="000B27F0"/>
    <w:rsid w:val="000B3FD5"/>
    <w:rsid w:val="000B461A"/>
    <w:rsid w:val="000C26BD"/>
    <w:rsid w:val="000C4FCE"/>
    <w:rsid w:val="000D5128"/>
    <w:rsid w:val="000D6E3B"/>
    <w:rsid w:val="000E3D1A"/>
    <w:rsid w:val="000F35AF"/>
    <w:rsid w:val="0010547E"/>
    <w:rsid w:val="001105EA"/>
    <w:rsid w:val="00110FAB"/>
    <w:rsid w:val="00114683"/>
    <w:rsid w:val="00115F44"/>
    <w:rsid w:val="00123A1F"/>
    <w:rsid w:val="00127BDD"/>
    <w:rsid w:val="0013065F"/>
    <w:rsid w:val="001312A5"/>
    <w:rsid w:val="001347AB"/>
    <w:rsid w:val="00134B40"/>
    <w:rsid w:val="00143EAA"/>
    <w:rsid w:val="001445C1"/>
    <w:rsid w:val="0014487F"/>
    <w:rsid w:val="00144C62"/>
    <w:rsid w:val="0014564C"/>
    <w:rsid w:val="00146C2E"/>
    <w:rsid w:val="0014790B"/>
    <w:rsid w:val="00150477"/>
    <w:rsid w:val="0015145E"/>
    <w:rsid w:val="001524FB"/>
    <w:rsid w:val="00162250"/>
    <w:rsid w:val="00167846"/>
    <w:rsid w:val="00174B90"/>
    <w:rsid w:val="00177856"/>
    <w:rsid w:val="0018689C"/>
    <w:rsid w:val="00187DDA"/>
    <w:rsid w:val="001912B9"/>
    <w:rsid w:val="001A1411"/>
    <w:rsid w:val="001B0F7E"/>
    <w:rsid w:val="001B0FB9"/>
    <w:rsid w:val="001B11B1"/>
    <w:rsid w:val="001B2A56"/>
    <w:rsid w:val="001B3FCD"/>
    <w:rsid w:val="001B7632"/>
    <w:rsid w:val="001C2778"/>
    <w:rsid w:val="001D0E9F"/>
    <w:rsid w:val="001E71E0"/>
    <w:rsid w:val="001F6285"/>
    <w:rsid w:val="00200312"/>
    <w:rsid w:val="00202913"/>
    <w:rsid w:val="00213B3E"/>
    <w:rsid w:val="00215D81"/>
    <w:rsid w:val="00235090"/>
    <w:rsid w:val="0025055E"/>
    <w:rsid w:val="00253E87"/>
    <w:rsid w:val="0026450D"/>
    <w:rsid w:val="002647DB"/>
    <w:rsid w:val="00266EEF"/>
    <w:rsid w:val="00276A81"/>
    <w:rsid w:val="00284679"/>
    <w:rsid w:val="00292D6D"/>
    <w:rsid w:val="0029431D"/>
    <w:rsid w:val="00295166"/>
    <w:rsid w:val="002A14D6"/>
    <w:rsid w:val="002A5B07"/>
    <w:rsid w:val="002A6978"/>
    <w:rsid w:val="002B1B66"/>
    <w:rsid w:val="002B2F14"/>
    <w:rsid w:val="002B70A7"/>
    <w:rsid w:val="002C704C"/>
    <w:rsid w:val="002D0C9C"/>
    <w:rsid w:val="002D2B9C"/>
    <w:rsid w:val="002D39AB"/>
    <w:rsid w:val="002D54AC"/>
    <w:rsid w:val="002F1F23"/>
    <w:rsid w:val="002F72B1"/>
    <w:rsid w:val="0030200C"/>
    <w:rsid w:val="003048DA"/>
    <w:rsid w:val="0030680D"/>
    <w:rsid w:val="00307237"/>
    <w:rsid w:val="003139E7"/>
    <w:rsid w:val="003166C1"/>
    <w:rsid w:val="00316F10"/>
    <w:rsid w:val="00323C91"/>
    <w:rsid w:val="0033278C"/>
    <w:rsid w:val="00333104"/>
    <w:rsid w:val="003345D2"/>
    <w:rsid w:val="003363B2"/>
    <w:rsid w:val="00342712"/>
    <w:rsid w:val="0034280C"/>
    <w:rsid w:val="00343C84"/>
    <w:rsid w:val="00344F03"/>
    <w:rsid w:val="00345BE5"/>
    <w:rsid w:val="00345D65"/>
    <w:rsid w:val="0034738F"/>
    <w:rsid w:val="00347391"/>
    <w:rsid w:val="00357D76"/>
    <w:rsid w:val="003674D9"/>
    <w:rsid w:val="003725D6"/>
    <w:rsid w:val="00374A9E"/>
    <w:rsid w:val="00377036"/>
    <w:rsid w:val="0037740C"/>
    <w:rsid w:val="00380957"/>
    <w:rsid w:val="00392367"/>
    <w:rsid w:val="00395A4A"/>
    <w:rsid w:val="003A24B8"/>
    <w:rsid w:val="003A4756"/>
    <w:rsid w:val="003A600B"/>
    <w:rsid w:val="003B1BAD"/>
    <w:rsid w:val="003B3C0C"/>
    <w:rsid w:val="003B7907"/>
    <w:rsid w:val="003D23A4"/>
    <w:rsid w:val="003D6413"/>
    <w:rsid w:val="003E4219"/>
    <w:rsid w:val="003E5044"/>
    <w:rsid w:val="003E60A2"/>
    <w:rsid w:val="003F0126"/>
    <w:rsid w:val="003F0723"/>
    <w:rsid w:val="003F3CA1"/>
    <w:rsid w:val="003F52B0"/>
    <w:rsid w:val="0040201C"/>
    <w:rsid w:val="00403F0C"/>
    <w:rsid w:val="00404164"/>
    <w:rsid w:val="00411F72"/>
    <w:rsid w:val="00427727"/>
    <w:rsid w:val="00437E3F"/>
    <w:rsid w:val="00440F5A"/>
    <w:rsid w:val="004414BE"/>
    <w:rsid w:val="00444C45"/>
    <w:rsid w:val="00444D80"/>
    <w:rsid w:val="00446C5B"/>
    <w:rsid w:val="00451E0B"/>
    <w:rsid w:val="00451FC2"/>
    <w:rsid w:val="00456392"/>
    <w:rsid w:val="00456D1F"/>
    <w:rsid w:val="00460C92"/>
    <w:rsid w:val="00461824"/>
    <w:rsid w:val="0046286C"/>
    <w:rsid w:val="0046337F"/>
    <w:rsid w:val="004717F9"/>
    <w:rsid w:val="00474977"/>
    <w:rsid w:val="00474BD4"/>
    <w:rsid w:val="0049319F"/>
    <w:rsid w:val="00493D36"/>
    <w:rsid w:val="004B2BF2"/>
    <w:rsid w:val="004B4EDF"/>
    <w:rsid w:val="004B563E"/>
    <w:rsid w:val="004C7764"/>
    <w:rsid w:val="004D45EA"/>
    <w:rsid w:val="004E3330"/>
    <w:rsid w:val="004E4716"/>
    <w:rsid w:val="004E597E"/>
    <w:rsid w:val="004E691F"/>
    <w:rsid w:val="004F0ED1"/>
    <w:rsid w:val="004F0F42"/>
    <w:rsid w:val="004F1518"/>
    <w:rsid w:val="004F6BFE"/>
    <w:rsid w:val="00500F11"/>
    <w:rsid w:val="00501A4F"/>
    <w:rsid w:val="00515F00"/>
    <w:rsid w:val="00526481"/>
    <w:rsid w:val="005264E3"/>
    <w:rsid w:val="00527880"/>
    <w:rsid w:val="00533080"/>
    <w:rsid w:val="00534FF9"/>
    <w:rsid w:val="00545012"/>
    <w:rsid w:val="00556CC1"/>
    <w:rsid w:val="00556D68"/>
    <w:rsid w:val="0056250D"/>
    <w:rsid w:val="0056409F"/>
    <w:rsid w:val="005660E0"/>
    <w:rsid w:val="00571DFC"/>
    <w:rsid w:val="00576DA3"/>
    <w:rsid w:val="00583052"/>
    <w:rsid w:val="00586EE5"/>
    <w:rsid w:val="0058729A"/>
    <w:rsid w:val="005917B8"/>
    <w:rsid w:val="005A3252"/>
    <w:rsid w:val="005B32D4"/>
    <w:rsid w:val="005B51CD"/>
    <w:rsid w:val="005C07DB"/>
    <w:rsid w:val="005C2423"/>
    <w:rsid w:val="005C4F54"/>
    <w:rsid w:val="005C5245"/>
    <w:rsid w:val="005D1417"/>
    <w:rsid w:val="005D3D6A"/>
    <w:rsid w:val="005D4677"/>
    <w:rsid w:val="005D478A"/>
    <w:rsid w:val="005E0B2E"/>
    <w:rsid w:val="005E556E"/>
    <w:rsid w:val="005E688B"/>
    <w:rsid w:val="005F04C7"/>
    <w:rsid w:val="00600074"/>
    <w:rsid w:val="00603991"/>
    <w:rsid w:val="00604A2F"/>
    <w:rsid w:val="00607CE7"/>
    <w:rsid w:val="00611F84"/>
    <w:rsid w:val="0061255E"/>
    <w:rsid w:val="006163C2"/>
    <w:rsid w:val="00622814"/>
    <w:rsid w:val="00625344"/>
    <w:rsid w:val="00627E19"/>
    <w:rsid w:val="00634777"/>
    <w:rsid w:val="00641D8A"/>
    <w:rsid w:val="00645DBE"/>
    <w:rsid w:val="006464E6"/>
    <w:rsid w:val="006504A2"/>
    <w:rsid w:val="0065269E"/>
    <w:rsid w:val="00652C4C"/>
    <w:rsid w:val="00654CE9"/>
    <w:rsid w:val="00664CE0"/>
    <w:rsid w:val="006850C9"/>
    <w:rsid w:val="00693502"/>
    <w:rsid w:val="006940CD"/>
    <w:rsid w:val="0069775E"/>
    <w:rsid w:val="006B1965"/>
    <w:rsid w:val="006B4ACA"/>
    <w:rsid w:val="006B5231"/>
    <w:rsid w:val="006C0F9D"/>
    <w:rsid w:val="006C1DB8"/>
    <w:rsid w:val="006C2BD2"/>
    <w:rsid w:val="006C34B5"/>
    <w:rsid w:val="006D1990"/>
    <w:rsid w:val="006D2974"/>
    <w:rsid w:val="006D71EA"/>
    <w:rsid w:val="006E461D"/>
    <w:rsid w:val="006E6BFF"/>
    <w:rsid w:val="006F599C"/>
    <w:rsid w:val="00700B34"/>
    <w:rsid w:val="00702598"/>
    <w:rsid w:val="00704143"/>
    <w:rsid w:val="00704E50"/>
    <w:rsid w:val="007057C0"/>
    <w:rsid w:val="00706DD7"/>
    <w:rsid w:val="0072027E"/>
    <w:rsid w:val="00721ABB"/>
    <w:rsid w:val="00724F6F"/>
    <w:rsid w:val="00730A76"/>
    <w:rsid w:val="00735B1A"/>
    <w:rsid w:val="00736A33"/>
    <w:rsid w:val="00751C64"/>
    <w:rsid w:val="00754B69"/>
    <w:rsid w:val="007606CA"/>
    <w:rsid w:val="007608C9"/>
    <w:rsid w:val="007608E2"/>
    <w:rsid w:val="00761396"/>
    <w:rsid w:val="00767A4F"/>
    <w:rsid w:val="00774998"/>
    <w:rsid w:val="00781A15"/>
    <w:rsid w:val="00783EE0"/>
    <w:rsid w:val="007A66F8"/>
    <w:rsid w:val="007A7E2D"/>
    <w:rsid w:val="007B04A2"/>
    <w:rsid w:val="007B2352"/>
    <w:rsid w:val="007C08A9"/>
    <w:rsid w:val="007D0D4B"/>
    <w:rsid w:val="007D3F95"/>
    <w:rsid w:val="007D667B"/>
    <w:rsid w:val="007D793E"/>
    <w:rsid w:val="007E08F7"/>
    <w:rsid w:val="007E0A16"/>
    <w:rsid w:val="007E11E4"/>
    <w:rsid w:val="007F06C4"/>
    <w:rsid w:val="007F60F1"/>
    <w:rsid w:val="0080026F"/>
    <w:rsid w:val="00801548"/>
    <w:rsid w:val="00805E3C"/>
    <w:rsid w:val="008104B8"/>
    <w:rsid w:val="0083099F"/>
    <w:rsid w:val="008374A4"/>
    <w:rsid w:val="008379D7"/>
    <w:rsid w:val="008407A4"/>
    <w:rsid w:val="008426EA"/>
    <w:rsid w:val="00842737"/>
    <w:rsid w:val="00844B88"/>
    <w:rsid w:val="00847338"/>
    <w:rsid w:val="00853D71"/>
    <w:rsid w:val="0086096D"/>
    <w:rsid w:val="00866BD1"/>
    <w:rsid w:val="0087045E"/>
    <w:rsid w:val="00874E68"/>
    <w:rsid w:val="00874F92"/>
    <w:rsid w:val="00876EB8"/>
    <w:rsid w:val="008859C9"/>
    <w:rsid w:val="00886885"/>
    <w:rsid w:val="008916DF"/>
    <w:rsid w:val="00895FF9"/>
    <w:rsid w:val="008A387C"/>
    <w:rsid w:val="008B07C9"/>
    <w:rsid w:val="008B574A"/>
    <w:rsid w:val="008B7E87"/>
    <w:rsid w:val="008C4549"/>
    <w:rsid w:val="008C5C2B"/>
    <w:rsid w:val="008D4336"/>
    <w:rsid w:val="008E03C7"/>
    <w:rsid w:val="008E1D74"/>
    <w:rsid w:val="008E3590"/>
    <w:rsid w:val="008E6337"/>
    <w:rsid w:val="008E6384"/>
    <w:rsid w:val="008F214D"/>
    <w:rsid w:val="008F4A5B"/>
    <w:rsid w:val="008F5654"/>
    <w:rsid w:val="00907B54"/>
    <w:rsid w:val="00910C41"/>
    <w:rsid w:val="00912C0A"/>
    <w:rsid w:val="00920171"/>
    <w:rsid w:val="00923C50"/>
    <w:rsid w:val="0093222C"/>
    <w:rsid w:val="0093369A"/>
    <w:rsid w:val="00934F58"/>
    <w:rsid w:val="0093791E"/>
    <w:rsid w:val="009422D9"/>
    <w:rsid w:val="009543F0"/>
    <w:rsid w:val="00955CCD"/>
    <w:rsid w:val="009600C5"/>
    <w:rsid w:val="00966901"/>
    <w:rsid w:val="009675E5"/>
    <w:rsid w:val="00971954"/>
    <w:rsid w:val="009726FA"/>
    <w:rsid w:val="00974DE3"/>
    <w:rsid w:val="009832C9"/>
    <w:rsid w:val="009855F9"/>
    <w:rsid w:val="00990FDA"/>
    <w:rsid w:val="00995614"/>
    <w:rsid w:val="009A16C6"/>
    <w:rsid w:val="009A5EB7"/>
    <w:rsid w:val="009A6501"/>
    <w:rsid w:val="009A7EF6"/>
    <w:rsid w:val="009B244F"/>
    <w:rsid w:val="009B33FC"/>
    <w:rsid w:val="009B488D"/>
    <w:rsid w:val="009B5730"/>
    <w:rsid w:val="009E3736"/>
    <w:rsid w:val="009E6712"/>
    <w:rsid w:val="009F4DAE"/>
    <w:rsid w:val="009F639F"/>
    <w:rsid w:val="009F793C"/>
    <w:rsid w:val="00A11903"/>
    <w:rsid w:val="00A141E1"/>
    <w:rsid w:val="00A154EA"/>
    <w:rsid w:val="00A16005"/>
    <w:rsid w:val="00A20E2C"/>
    <w:rsid w:val="00A23B08"/>
    <w:rsid w:val="00A25405"/>
    <w:rsid w:val="00A277ED"/>
    <w:rsid w:val="00A32290"/>
    <w:rsid w:val="00A32DA1"/>
    <w:rsid w:val="00A404EB"/>
    <w:rsid w:val="00A42E92"/>
    <w:rsid w:val="00A43999"/>
    <w:rsid w:val="00A45EB3"/>
    <w:rsid w:val="00A506D8"/>
    <w:rsid w:val="00A51181"/>
    <w:rsid w:val="00A53A91"/>
    <w:rsid w:val="00A61B5A"/>
    <w:rsid w:val="00A63371"/>
    <w:rsid w:val="00A640D1"/>
    <w:rsid w:val="00A66FD3"/>
    <w:rsid w:val="00A70FCD"/>
    <w:rsid w:val="00A72EF2"/>
    <w:rsid w:val="00A748C1"/>
    <w:rsid w:val="00A77904"/>
    <w:rsid w:val="00A77D24"/>
    <w:rsid w:val="00A77DCA"/>
    <w:rsid w:val="00A8566D"/>
    <w:rsid w:val="00A865AB"/>
    <w:rsid w:val="00A90067"/>
    <w:rsid w:val="00A903D2"/>
    <w:rsid w:val="00A93845"/>
    <w:rsid w:val="00A940DC"/>
    <w:rsid w:val="00A96193"/>
    <w:rsid w:val="00A9758C"/>
    <w:rsid w:val="00AA0B20"/>
    <w:rsid w:val="00AC202F"/>
    <w:rsid w:val="00AC395C"/>
    <w:rsid w:val="00AC797C"/>
    <w:rsid w:val="00AD30E8"/>
    <w:rsid w:val="00AD690E"/>
    <w:rsid w:val="00AD78F0"/>
    <w:rsid w:val="00AE37BA"/>
    <w:rsid w:val="00AF0102"/>
    <w:rsid w:val="00B02157"/>
    <w:rsid w:val="00B030E5"/>
    <w:rsid w:val="00B059D5"/>
    <w:rsid w:val="00B205D2"/>
    <w:rsid w:val="00B217BB"/>
    <w:rsid w:val="00B23234"/>
    <w:rsid w:val="00B302E0"/>
    <w:rsid w:val="00B31C8C"/>
    <w:rsid w:val="00B34849"/>
    <w:rsid w:val="00B369FC"/>
    <w:rsid w:val="00B4077D"/>
    <w:rsid w:val="00B42A69"/>
    <w:rsid w:val="00B45144"/>
    <w:rsid w:val="00B5145C"/>
    <w:rsid w:val="00B55FA7"/>
    <w:rsid w:val="00B570EC"/>
    <w:rsid w:val="00B659CD"/>
    <w:rsid w:val="00B726A5"/>
    <w:rsid w:val="00B732BA"/>
    <w:rsid w:val="00B73571"/>
    <w:rsid w:val="00B74304"/>
    <w:rsid w:val="00B86B73"/>
    <w:rsid w:val="00B86D6C"/>
    <w:rsid w:val="00B95C13"/>
    <w:rsid w:val="00B964C2"/>
    <w:rsid w:val="00BA0026"/>
    <w:rsid w:val="00BA6750"/>
    <w:rsid w:val="00BB621C"/>
    <w:rsid w:val="00BC2FA8"/>
    <w:rsid w:val="00BC35AC"/>
    <w:rsid w:val="00BC3826"/>
    <w:rsid w:val="00BD0249"/>
    <w:rsid w:val="00BD0F07"/>
    <w:rsid w:val="00BE18DF"/>
    <w:rsid w:val="00BE48BB"/>
    <w:rsid w:val="00BE6498"/>
    <w:rsid w:val="00BF1BC6"/>
    <w:rsid w:val="00BF2CC2"/>
    <w:rsid w:val="00BF62FB"/>
    <w:rsid w:val="00C01B9C"/>
    <w:rsid w:val="00C047B9"/>
    <w:rsid w:val="00C062DF"/>
    <w:rsid w:val="00C06664"/>
    <w:rsid w:val="00C07BAD"/>
    <w:rsid w:val="00C11237"/>
    <w:rsid w:val="00C146BB"/>
    <w:rsid w:val="00C15389"/>
    <w:rsid w:val="00C16BBB"/>
    <w:rsid w:val="00C22D5C"/>
    <w:rsid w:val="00C2525B"/>
    <w:rsid w:val="00C307A7"/>
    <w:rsid w:val="00C33179"/>
    <w:rsid w:val="00C37FE8"/>
    <w:rsid w:val="00C42165"/>
    <w:rsid w:val="00C54944"/>
    <w:rsid w:val="00C57BBF"/>
    <w:rsid w:val="00C66AC0"/>
    <w:rsid w:val="00C67D90"/>
    <w:rsid w:val="00C742FA"/>
    <w:rsid w:val="00C755D8"/>
    <w:rsid w:val="00C80004"/>
    <w:rsid w:val="00C82911"/>
    <w:rsid w:val="00C878C6"/>
    <w:rsid w:val="00C878CA"/>
    <w:rsid w:val="00C9148A"/>
    <w:rsid w:val="00C919A1"/>
    <w:rsid w:val="00C91F5D"/>
    <w:rsid w:val="00CA1E67"/>
    <w:rsid w:val="00CA1F75"/>
    <w:rsid w:val="00CA2A70"/>
    <w:rsid w:val="00CC15BF"/>
    <w:rsid w:val="00CC2F35"/>
    <w:rsid w:val="00CC30B2"/>
    <w:rsid w:val="00CD1D81"/>
    <w:rsid w:val="00CE4B66"/>
    <w:rsid w:val="00CE4C9D"/>
    <w:rsid w:val="00CF0999"/>
    <w:rsid w:val="00D000D5"/>
    <w:rsid w:val="00D01383"/>
    <w:rsid w:val="00D03A53"/>
    <w:rsid w:val="00D06173"/>
    <w:rsid w:val="00D0723C"/>
    <w:rsid w:val="00D07476"/>
    <w:rsid w:val="00D21705"/>
    <w:rsid w:val="00D23D95"/>
    <w:rsid w:val="00D25CD0"/>
    <w:rsid w:val="00D32EF5"/>
    <w:rsid w:val="00D37E86"/>
    <w:rsid w:val="00D45732"/>
    <w:rsid w:val="00D50252"/>
    <w:rsid w:val="00D54434"/>
    <w:rsid w:val="00D56CC0"/>
    <w:rsid w:val="00D60606"/>
    <w:rsid w:val="00D632EB"/>
    <w:rsid w:val="00D63542"/>
    <w:rsid w:val="00D7100E"/>
    <w:rsid w:val="00D71D93"/>
    <w:rsid w:val="00D72126"/>
    <w:rsid w:val="00D734F3"/>
    <w:rsid w:val="00D756C6"/>
    <w:rsid w:val="00D772D9"/>
    <w:rsid w:val="00D833DF"/>
    <w:rsid w:val="00D86822"/>
    <w:rsid w:val="00D8730D"/>
    <w:rsid w:val="00D93589"/>
    <w:rsid w:val="00DA0610"/>
    <w:rsid w:val="00DC74C6"/>
    <w:rsid w:val="00DD0D60"/>
    <w:rsid w:val="00DD1B48"/>
    <w:rsid w:val="00DD364B"/>
    <w:rsid w:val="00DD3C73"/>
    <w:rsid w:val="00DD3FB8"/>
    <w:rsid w:val="00DE2907"/>
    <w:rsid w:val="00DE2D4F"/>
    <w:rsid w:val="00DE3C60"/>
    <w:rsid w:val="00DE59EC"/>
    <w:rsid w:val="00DE63DF"/>
    <w:rsid w:val="00E007AA"/>
    <w:rsid w:val="00E023E4"/>
    <w:rsid w:val="00E12AC0"/>
    <w:rsid w:val="00E12B6E"/>
    <w:rsid w:val="00E13A5F"/>
    <w:rsid w:val="00E16D39"/>
    <w:rsid w:val="00E32334"/>
    <w:rsid w:val="00E40786"/>
    <w:rsid w:val="00E47939"/>
    <w:rsid w:val="00E72C19"/>
    <w:rsid w:val="00E74EDA"/>
    <w:rsid w:val="00E779C5"/>
    <w:rsid w:val="00E85B24"/>
    <w:rsid w:val="00E92042"/>
    <w:rsid w:val="00EA027D"/>
    <w:rsid w:val="00EA0B97"/>
    <w:rsid w:val="00EA17FB"/>
    <w:rsid w:val="00EA312F"/>
    <w:rsid w:val="00EA4A48"/>
    <w:rsid w:val="00EB2874"/>
    <w:rsid w:val="00EB70EE"/>
    <w:rsid w:val="00ED3D61"/>
    <w:rsid w:val="00EE2617"/>
    <w:rsid w:val="00EF212F"/>
    <w:rsid w:val="00EF2B7C"/>
    <w:rsid w:val="00EF38C1"/>
    <w:rsid w:val="00EF4B76"/>
    <w:rsid w:val="00EF7E1A"/>
    <w:rsid w:val="00F045C5"/>
    <w:rsid w:val="00F141C0"/>
    <w:rsid w:val="00F17D7F"/>
    <w:rsid w:val="00F22AD3"/>
    <w:rsid w:val="00F24215"/>
    <w:rsid w:val="00F32AC2"/>
    <w:rsid w:val="00F34D98"/>
    <w:rsid w:val="00F3678B"/>
    <w:rsid w:val="00F42623"/>
    <w:rsid w:val="00F4522D"/>
    <w:rsid w:val="00F562E5"/>
    <w:rsid w:val="00F573F3"/>
    <w:rsid w:val="00F62DA5"/>
    <w:rsid w:val="00F766D5"/>
    <w:rsid w:val="00F812DB"/>
    <w:rsid w:val="00F83DF7"/>
    <w:rsid w:val="00F83EBD"/>
    <w:rsid w:val="00F92AD6"/>
    <w:rsid w:val="00F95024"/>
    <w:rsid w:val="00F96049"/>
    <w:rsid w:val="00F9607F"/>
    <w:rsid w:val="00FA211B"/>
    <w:rsid w:val="00FA2758"/>
    <w:rsid w:val="00FA6AC7"/>
    <w:rsid w:val="00FB49B1"/>
    <w:rsid w:val="00FB6255"/>
    <w:rsid w:val="00FC567E"/>
    <w:rsid w:val="00FD0EAD"/>
    <w:rsid w:val="00FE3408"/>
    <w:rsid w:val="00FE6718"/>
    <w:rsid w:val="00FE683B"/>
    <w:rsid w:val="00FF0A00"/>
    <w:rsid w:val="096E2623"/>
    <w:rsid w:val="0E58159A"/>
    <w:rsid w:val="0F0372E9"/>
    <w:rsid w:val="17B000F2"/>
    <w:rsid w:val="1D085189"/>
    <w:rsid w:val="22081D62"/>
    <w:rsid w:val="3AE55427"/>
    <w:rsid w:val="407B7476"/>
    <w:rsid w:val="47532AB0"/>
    <w:rsid w:val="4B59475F"/>
    <w:rsid w:val="53AF28DA"/>
    <w:rsid w:val="593E3BD0"/>
    <w:rsid w:val="5DDF12E0"/>
    <w:rsid w:val="61790116"/>
    <w:rsid w:val="72EA0F74"/>
    <w:rsid w:val="765C6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heme="minorHAnsi" w:hAnsiTheme="minorHAnsi" w:eastAsiaTheme="minorEastAsia" w:cstheme="minorBidi"/>
      <w:kern w:val="2"/>
      <w:sz w:val="21"/>
      <w:szCs w:val="22"/>
      <w:lang w:val="en-US" w:eastAsia="zh-CN" w:bidi="ar-SA"/>
      <w14:ligatures w14:val="none"/>
    </w:rPr>
  </w:style>
  <w:style w:type="paragraph" w:styleId="2">
    <w:name w:val="heading 1"/>
    <w:basedOn w:val="1"/>
    <w:next w:val="1"/>
    <w:link w:val="19"/>
    <w:qFormat/>
    <w:uiPriority w:val="9"/>
    <w:pPr>
      <w:keepNext/>
      <w:keepLines/>
      <w:spacing w:before="480" w:after="80" w:line="278" w:lineRule="auto"/>
      <w:jc w:val="left"/>
      <w:outlineLvl w:val="0"/>
    </w:pPr>
    <w:rPr>
      <w:rFonts w:asciiTheme="majorHAnsi" w:hAnsiTheme="majorHAnsi" w:eastAsiaTheme="majorEastAsia" w:cstheme="majorBidi"/>
      <w:color w:val="104862" w:themeColor="accent1" w:themeShade="BF"/>
      <w:sz w:val="48"/>
      <w:szCs w:val="48"/>
      <w14:ligatures w14:val="standardContextual"/>
    </w:rPr>
  </w:style>
  <w:style w:type="paragraph" w:styleId="3">
    <w:name w:val="heading 2"/>
    <w:basedOn w:val="1"/>
    <w:next w:val="1"/>
    <w:link w:val="20"/>
    <w:unhideWhenUsed/>
    <w:qFormat/>
    <w:uiPriority w:val="9"/>
    <w:pPr>
      <w:keepNext/>
      <w:keepLines/>
      <w:spacing w:before="160" w:after="80" w:line="278" w:lineRule="auto"/>
      <w:jc w:val="left"/>
      <w:outlineLvl w:val="1"/>
    </w:pPr>
    <w:rPr>
      <w:rFonts w:asciiTheme="majorHAnsi" w:hAnsiTheme="majorHAnsi" w:eastAsiaTheme="majorEastAsia" w:cstheme="majorBidi"/>
      <w:color w:val="104862" w:themeColor="accent1" w:themeShade="BF"/>
      <w:sz w:val="40"/>
      <w:szCs w:val="40"/>
      <w14:ligatures w14:val="standardContextual"/>
    </w:rPr>
  </w:style>
  <w:style w:type="paragraph" w:styleId="4">
    <w:name w:val="heading 3"/>
    <w:basedOn w:val="1"/>
    <w:next w:val="1"/>
    <w:link w:val="21"/>
    <w:semiHidden/>
    <w:unhideWhenUsed/>
    <w:qFormat/>
    <w:uiPriority w:val="9"/>
    <w:pPr>
      <w:keepNext/>
      <w:keepLines/>
      <w:spacing w:before="160" w:after="80" w:line="278" w:lineRule="auto"/>
      <w:jc w:val="left"/>
      <w:outlineLvl w:val="2"/>
    </w:pPr>
    <w:rPr>
      <w:rFonts w:asciiTheme="majorHAnsi" w:hAnsiTheme="majorHAnsi" w:eastAsiaTheme="majorEastAsia" w:cstheme="majorBidi"/>
      <w:color w:val="104862" w:themeColor="accent1" w:themeShade="BF"/>
      <w:sz w:val="32"/>
      <w:szCs w:val="32"/>
      <w14:ligatures w14:val="standardContextual"/>
    </w:rPr>
  </w:style>
  <w:style w:type="paragraph" w:styleId="5">
    <w:name w:val="heading 4"/>
    <w:basedOn w:val="1"/>
    <w:next w:val="1"/>
    <w:link w:val="22"/>
    <w:semiHidden/>
    <w:unhideWhenUsed/>
    <w:qFormat/>
    <w:uiPriority w:val="9"/>
    <w:pPr>
      <w:keepNext/>
      <w:keepLines/>
      <w:spacing w:before="80" w:after="40" w:line="278" w:lineRule="auto"/>
      <w:jc w:val="left"/>
      <w:outlineLvl w:val="3"/>
    </w:pPr>
    <w:rPr>
      <w:rFonts w:cstheme="majorBidi"/>
      <w:color w:val="104862" w:themeColor="accent1" w:themeShade="BF"/>
      <w:sz w:val="28"/>
      <w:szCs w:val="28"/>
      <w14:ligatures w14:val="standardContextual"/>
    </w:rPr>
  </w:style>
  <w:style w:type="paragraph" w:styleId="6">
    <w:name w:val="heading 5"/>
    <w:basedOn w:val="1"/>
    <w:next w:val="1"/>
    <w:link w:val="23"/>
    <w:semiHidden/>
    <w:unhideWhenUsed/>
    <w:qFormat/>
    <w:uiPriority w:val="9"/>
    <w:pPr>
      <w:keepNext/>
      <w:keepLines/>
      <w:spacing w:before="80" w:after="40" w:line="278" w:lineRule="auto"/>
      <w:jc w:val="left"/>
      <w:outlineLvl w:val="4"/>
    </w:pPr>
    <w:rPr>
      <w:rFonts w:cstheme="majorBidi"/>
      <w:color w:val="104862" w:themeColor="accent1" w:themeShade="BF"/>
      <w:sz w:val="24"/>
      <w:szCs w:val="24"/>
      <w14:ligatures w14:val="standardContextual"/>
    </w:rPr>
  </w:style>
  <w:style w:type="paragraph" w:styleId="7">
    <w:name w:val="heading 6"/>
    <w:basedOn w:val="1"/>
    <w:next w:val="1"/>
    <w:link w:val="24"/>
    <w:semiHidden/>
    <w:unhideWhenUsed/>
    <w:qFormat/>
    <w:uiPriority w:val="9"/>
    <w:pPr>
      <w:keepNext/>
      <w:keepLines/>
      <w:spacing w:before="40" w:line="278" w:lineRule="auto"/>
      <w:jc w:val="left"/>
      <w:outlineLvl w:val="5"/>
    </w:pPr>
    <w:rPr>
      <w:rFonts w:cstheme="majorBidi"/>
      <w:b/>
      <w:bCs/>
      <w:color w:val="104862" w:themeColor="accent1" w:themeShade="BF"/>
      <w:sz w:val="22"/>
      <w:szCs w:val="24"/>
      <w14:ligatures w14:val="standardContextual"/>
    </w:rPr>
  </w:style>
  <w:style w:type="paragraph" w:styleId="8">
    <w:name w:val="heading 7"/>
    <w:basedOn w:val="1"/>
    <w:next w:val="1"/>
    <w:link w:val="25"/>
    <w:semiHidden/>
    <w:unhideWhenUsed/>
    <w:qFormat/>
    <w:uiPriority w:val="9"/>
    <w:pPr>
      <w:keepNext/>
      <w:keepLines/>
      <w:spacing w:before="40" w:line="278" w:lineRule="auto"/>
      <w:jc w:val="left"/>
      <w:outlineLvl w:val="6"/>
    </w:pPr>
    <w:rPr>
      <w:rFonts w:cstheme="majorBidi"/>
      <w:b/>
      <w:bCs/>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9">
    <w:name w:val="heading 8"/>
    <w:basedOn w:val="1"/>
    <w:next w:val="1"/>
    <w:link w:val="26"/>
    <w:semiHidden/>
    <w:unhideWhenUsed/>
    <w:qFormat/>
    <w:uiPriority w:val="9"/>
    <w:pPr>
      <w:keepNext/>
      <w:keepLines/>
      <w:spacing w:line="278" w:lineRule="auto"/>
      <w:jc w:val="left"/>
      <w:outlineLvl w:val="7"/>
    </w:pPr>
    <w:rPr>
      <w:rFonts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10">
    <w:name w:val="heading 9"/>
    <w:basedOn w:val="1"/>
    <w:next w:val="1"/>
    <w:link w:val="27"/>
    <w:semiHidden/>
    <w:unhideWhenUsed/>
    <w:qFormat/>
    <w:uiPriority w:val="9"/>
    <w:pPr>
      <w:keepNext/>
      <w:keepLines/>
      <w:spacing w:line="278" w:lineRule="auto"/>
      <w:jc w:val="left"/>
      <w:outlineLvl w:val="8"/>
    </w:pPr>
    <w:rPr>
      <w:rFonts w:eastAsiaTheme="majorEastAsia"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8"/>
    <w:unhideWhenUsed/>
    <w:qFormat/>
    <w:uiPriority w:val="99"/>
    <w:pPr>
      <w:tabs>
        <w:tab w:val="center" w:pos="4153"/>
        <w:tab w:val="right" w:pos="8306"/>
      </w:tabs>
      <w:snapToGrid w:val="0"/>
      <w:jc w:val="left"/>
    </w:pPr>
    <w:rPr>
      <w:sz w:val="18"/>
      <w:szCs w:val="18"/>
    </w:rPr>
  </w:style>
  <w:style w:type="paragraph" w:styleId="12">
    <w:name w:val="header"/>
    <w:basedOn w:val="1"/>
    <w:link w:val="37"/>
    <w:unhideWhenUsed/>
    <w:qFormat/>
    <w:uiPriority w:val="99"/>
    <w:pPr>
      <w:tabs>
        <w:tab w:val="center" w:pos="4153"/>
        <w:tab w:val="right" w:pos="8306"/>
      </w:tabs>
      <w:snapToGrid w:val="0"/>
      <w:jc w:val="center"/>
    </w:pPr>
    <w:rPr>
      <w:sz w:val="18"/>
      <w:szCs w:val="18"/>
    </w:rPr>
  </w:style>
  <w:style w:type="paragraph" w:styleId="13">
    <w:name w:val="Subtitle"/>
    <w:basedOn w:val="1"/>
    <w:next w:val="1"/>
    <w:link w:val="29"/>
    <w:qFormat/>
    <w:uiPriority w:val="11"/>
    <w:pPr>
      <w:spacing w:after="160" w:line="278" w:lineRule="auto"/>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Title"/>
    <w:basedOn w:val="1"/>
    <w:next w:val="1"/>
    <w:link w:val="28"/>
    <w:qFormat/>
    <w:uiPriority w:val="10"/>
    <w:pPr>
      <w:spacing w:after="80"/>
      <w:contextualSpacing/>
      <w:jc w:val="center"/>
    </w:pPr>
    <w:rPr>
      <w:rFonts w:asciiTheme="majorHAnsi" w:hAnsiTheme="majorHAnsi" w:eastAsiaTheme="majorEastAsia" w:cstheme="majorBidi"/>
      <w:spacing w:val="-10"/>
      <w:kern w:val="28"/>
      <w:sz w:val="56"/>
      <w:szCs w:val="56"/>
      <w14:ligatures w14:val="standardContextual"/>
    </w:rPr>
  </w:style>
  <w:style w:type="character" w:styleId="18">
    <w:name w:val="Strong"/>
    <w:basedOn w:val="17"/>
    <w:qFormat/>
    <w:uiPriority w:val="22"/>
    <w:rPr>
      <w:b/>
      <w:bCs/>
    </w:rPr>
  </w:style>
  <w:style w:type="character" w:customStyle="1" w:styleId="19">
    <w:name w:val="标题 1 字符"/>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7"/>
    <w:link w:val="3"/>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2">
    <w:name w:val="标题 4 字符"/>
    <w:basedOn w:val="17"/>
    <w:link w:val="5"/>
    <w:semiHidden/>
    <w:qFormat/>
    <w:uiPriority w:val="9"/>
    <w:rPr>
      <w:rFonts w:cstheme="majorBidi"/>
      <w:color w:val="104862" w:themeColor="accent1" w:themeShade="BF"/>
      <w:sz w:val="28"/>
      <w:szCs w:val="28"/>
    </w:rPr>
  </w:style>
  <w:style w:type="character" w:customStyle="1" w:styleId="23">
    <w:name w:val="标题 5 字符"/>
    <w:basedOn w:val="17"/>
    <w:link w:val="6"/>
    <w:semiHidden/>
    <w:qFormat/>
    <w:uiPriority w:val="9"/>
    <w:rPr>
      <w:rFonts w:cstheme="majorBidi"/>
      <w:color w:val="104862" w:themeColor="accent1" w:themeShade="BF"/>
      <w:sz w:val="24"/>
    </w:rPr>
  </w:style>
  <w:style w:type="character" w:customStyle="1" w:styleId="24">
    <w:name w:val="标题 6 字符"/>
    <w:basedOn w:val="17"/>
    <w:link w:val="7"/>
    <w:semiHidden/>
    <w:qFormat/>
    <w:uiPriority w:val="9"/>
    <w:rPr>
      <w:rFonts w:cstheme="majorBidi"/>
      <w:b/>
      <w:bCs/>
      <w:color w:val="104862" w:themeColor="accent1" w:themeShade="BF"/>
    </w:rPr>
  </w:style>
  <w:style w:type="character" w:customStyle="1" w:styleId="25">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7"/>
    <w:link w:val="15"/>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after="160" w:line="278" w:lineRule="auto"/>
      <w:jc w:val="center"/>
    </w:pPr>
    <w:rPr>
      <w:i/>
      <w:iCs/>
      <w:color w:val="404040" w:themeColor="text1" w:themeTint="BF"/>
      <w:sz w:val="22"/>
      <w:szCs w:val="24"/>
      <w14:textFill>
        <w14:solidFill>
          <w14:schemeClr w14:val="tx1">
            <w14:lumMod w14:val="75000"/>
            <w14:lumOff w14:val="25000"/>
          </w14:schemeClr>
        </w14:solidFill>
      </w14:textFill>
      <w14:ligatures w14:val="standardContextual"/>
    </w:rPr>
  </w:style>
  <w:style w:type="character" w:customStyle="1" w:styleId="31">
    <w:name w:val="引用 字符"/>
    <w:basedOn w:val="17"/>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spacing w:after="160" w:line="278" w:lineRule="auto"/>
      <w:ind w:left="720"/>
      <w:contextualSpacing/>
      <w:jc w:val="left"/>
    </w:pPr>
    <w:rPr>
      <w:sz w:val="22"/>
      <w:szCs w:val="24"/>
      <w14:ligatures w14:val="standardContextual"/>
    </w:rPr>
  </w:style>
  <w:style w:type="character" w:customStyle="1" w:styleId="33">
    <w:name w:val="Intense Emphasis"/>
    <w:basedOn w:val="17"/>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line="278" w:lineRule="auto"/>
      <w:ind w:left="864" w:right="864"/>
      <w:jc w:val="center"/>
    </w:pPr>
    <w:rPr>
      <w:i/>
      <w:iCs/>
      <w:color w:val="104862" w:themeColor="accent1" w:themeShade="BF"/>
      <w:sz w:val="22"/>
      <w:szCs w:val="24"/>
      <w14:ligatures w14:val="standardContextual"/>
    </w:rPr>
  </w:style>
  <w:style w:type="character" w:customStyle="1" w:styleId="35">
    <w:name w:val="明显引用 字符"/>
    <w:basedOn w:val="17"/>
    <w:link w:val="34"/>
    <w:qFormat/>
    <w:uiPriority w:val="30"/>
    <w:rPr>
      <w:i/>
      <w:iCs/>
      <w:color w:val="104862" w:themeColor="accent1" w:themeShade="BF"/>
    </w:rPr>
  </w:style>
  <w:style w:type="character" w:customStyle="1" w:styleId="36">
    <w:name w:val="Intense Reference"/>
    <w:basedOn w:val="17"/>
    <w:qFormat/>
    <w:uiPriority w:val="32"/>
    <w:rPr>
      <w:b/>
      <w:bCs/>
      <w:smallCaps/>
      <w:color w:val="104862" w:themeColor="accent1" w:themeShade="BF"/>
      <w:spacing w:val="5"/>
    </w:rPr>
  </w:style>
  <w:style w:type="character" w:customStyle="1" w:styleId="37">
    <w:name w:val="页眉 字符"/>
    <w:basedOn w:val="17"/>
    <w:link w:val="12"/>
    <w:qFormat/>
    <w:uiPriority w:val="99"/>
    <w:rPr>
      <w:sz w:val="18"/>
      <w:szCs w:val="18"/>
      <w14:ligatures w14:val="none"/>
    </w:rPr>
  </w:style>
  <w:style w:type="character" w:customStyle="1" w:styleId="38">
    <w:name w:val="页脚 字符"/>
    <w:basedOn w:val="17"/>
    <w:link w:val="11"/>
    <w:qFormat/>
    <w:uiPriority w:val="99"/>
    <w:rPr>
      <w:sz w:val="18"/>
      <w:szCs w:val="18"/>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8C673F5-9E3F-47DE-A8BB-A6C3BC06D6E0}">
  <ds:schemaRefs/>
</ds:datastoreItem>
</file>

<file path=docProps/app.xml><?xml version="1.0" encoding="utf-8"?>
<Properties xmlns="http://schemas.openxmlformats.org/officeDocument/2006/extended-properties" xmlns:vt="http://schemas.openxmlformats.org/officeDocument/2006/docPropsVTypes">
  <Template>Normal</Template>
  <Pages>6</Pages>
  <Words>1426</Words>
  <Characters>1427</Characters>
  <Lines>71</Lines>
  <Paragraphs>73</Paragraphs>
  <TotalTime>2</TotalTime>
  <ScaleCrop>false</ScaleCrop>
  <LinksUpToDate>false</LinksUpToDate>
  <CharactersWithSpaces>2780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2025-07-12T06:50:00Z</dcterms:created>
  <dc:creator>qing chen</dc:creator>
  <cp:lastModifiedBy>张瑞</cp:lastModifiedBy>
  <cp:lastPrinted>2025-06-15T10:13:00Z</cp:lastPrinted>
  <dcterms:modified xsi:type="dcterms:W3CDTF">2025-07-18T09:12:05Z</dcterms:modified>
  <cp:revision>214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14B78EC5CB4041DAAF3715CBBDE71159</vt:lpwstr>
  </property>
</Properties>
</file>