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100" w:beforeAutospacing="1" w:after="100" w:afterAutospacing="1" w:line="360" w:lineRule="auto"/>
        <w:jc w:val="center"/>
        <w:rPr>
          <w:rFonts w:ascii="Arial" w:hAnsi="Arial" w:eastAsia="宋体" w:cs="Arial"/>
          <w:color w:val="101010"/>
          <w:kern w:val="0"/>
          <w:szCs w:val="21"/>
        </w:rPr>
      </w:pPr>
      <w:r>
        <w:rPr>
          <w:rFonts w:hint="eastAsia" w:ascii="宋体" w:hAnsi="宋体" w:eastAsia="宋体" w:cs="Arial"/>
          <w:b/>
          <w:bCs/>
          <w:color w:val="000000"/>
          <w:kern w:val="0"/>
          <w:sz w:val="29"/>
        </w:rPr>
        <w:t>紫金农商银行“紫金财富</w:t>
      </w:r>
      <w:r>
        <w:rPr>
          <w:rFonts w:hint="eastAsia" w:ascii="宋体" w:hAnsi="宋体" w:eastAsia="宋体" w:cs="Arial"/>
          <w:b/>
          <w:bCs/>
          <w:color w:val="000000"/>
          <w:kern w:val="0"/>
          <w:sz w:val="29"/>
          <w:lang w:val="en-US" w:eastAsia="zh-CN"/>
        </w:rPr>
        <w:t>成长盈1Y系列2105期</w:t>
      </w:r>
      <w:r>
        <w:rPr>
          <w:rFonts w:hint="eastAsia" w:ascii="宋体" w:hAnsi="宋体" w:eastAsia="宋体" w:cs="Arial"/>
          <w:b/>
          <w:bCs/>
          <w:color w:val="000000"/>
          <w:kern w:val="0"/>
          <w:sz w:val="29"/>
        </w:rPr>
        <w:t>人民币理财产品”到期兑付公告</w:t>
      </w:r>
    </w:p>
    <w:p>
      <w:pPr>
        <w:widowControl/>
        <w:spacing w:before="100" w:beforeAutospacing="1" w:after="100" w:afterAutospacing="1" w:line="360" w:lineRule="auto"/>
        <w:jc w:val="left"/>
        <w:rPr>
          <w:rFonts w:ascii="Arial" w:hAnsi="Arial" w:eastAsia="宋体" w:cs="Arial"/>
          <w:color w:val="101010"/>
          <w:kern w:val="0"/>
          <w:szCs w:val="21"/>
        </w:rPr>
      </w:pPr>
      <w:r>
        <w:rPr>
          <w:rFonts w:ascii="Times New Roman" w:hAnsi="Times New Roman" w:eastAsia="仿宋_GB2312" w:cs="Times New Roman"/>
          <w:color w:val="101010"/>
          <w:kern w:val="0"/>
          <w:sz w:val="24"/>
          <w:szCs w:val="24"/>
        </w:rPr>
        <w:t>尊敬的客户：</w:t>
      </w:r>
    </w:p>
    <w:p>
      <w:pPr>
        <w:widowControl/>
        <w:spacing w:line="360" w:lineRule="auto"/>
        <w:ind w:firstLine="480"/>
        <w:jc w:val="left"/>
        <w:rPr>
          <w:rFonts w:ascii="Arial" w:hAnsi="Arial" w:eastAsia="宋体" w:cs="Arial"/>
          <w:color w:val="101010"/>
          <w:kern w:val="0"/>
          <w:szCs w:val="21"/>
        </w:rPr>
      </w:pPr>
      <w:r>
        <w:rPr>
          <w:rFonts w:hint="eastAsia" w:ascii="Times New Roman" w:hAnsi="Times New Roman" w:eastAsia="仿宋_GB2312" w:cs="Times New Roman"/>
          <w:color w:val="101010"/>
          <w:kern w:val="0"/>
          <w:sz w:val="24"/>
          <w:szCs w:val="24"/>
        </w:rPr>
        <w:t>紫金财富成长盈1Y系列210</w:t>
      </w:r>
      <w:r>
        <w:rPr>
          <w:rFonts w:hint="eastAsia" w:ascii="Times New Roman" w:hAnsi="Times New Roman" w:eastAsia="仿宋_GB2312" w:cs="Times New Roman"/>
          <w:color w:val="101010"/>
          <w:kern w:val="0"/>
          <w:sz w:val="24"/>
          <w:szCs w:val="24"/>
          <w:lang w:val="en-US" w:eastAsia="zh-CN"/>
        </w:rPr>
        <w:t>5</w:t>
      </w:r>
      <w:r>
        <w:rPr>
          <w:rFonts w:hint="eastAsia" w:ascii="Times New Roman" w:hAnsi="Times New Roman" w:eastAsia="仿宋_GB2312" w:cs="Times New Roman"/>
          <w:color w:val="101010"/>
          <w:kern w:val="0"/>
          <w:sz w:val="24"/>
          <w:szCs w:val="24"/>
        </w:rPr>
        <w:t>期人民币理财产品</w:t>
      </w:r>
      <w:r>
        <w:rPr>
          <w:rFonts w:ascii="Times New Roman" w:hAnsi="Times New Roman" w:eastAsia="仿宋_GB2312" w:cs="Times New Roman"/>
          <w:color w:val="101010"/>
          <w:kern w:val="0"/>
          <w:sz w:val="24"/>
          <w:szCs w:val="24"/>
        </w:rPr>
        <w:t>于202</w:t>
      </w:r>
      <w:r>
        <w:rPr>
          <w:rFonts w:hint="eastAsia" w:ascii="Times New Roman" w:hAnsi="Times New Roman" w:eastAsia="仿宋_GB2312" w:cs="Times New Roman"/>
          <w:color w:val="101010"/>
          <w:kern w:val="0"/>
          <w:sz w:val="24"/>
          <w:szCs w:val="24"/>
        </w:rPr>
        <w:t>2</w:t>
      </w:r>
      <w:r>
        <w:rPr>
          <w:rFonts w:ascii="Times New Roman" w:hAnsi="Times New Roman" w:eastAsia="仿宋_GB2312" w:cs="Times New Roman"/>
          <w:color w:val="101010"/>
          <w:kern w:val="0"/>
          <w:sz w:val="24"/>
          <w:szCs w:val="24"/>
        </w:rPr>
        <w:t>年</w:t>
      </w:r>
      <w:r>
        <w:rPr>
          <w:rFonts w:hint="eastAsia" w:ascii="Times New Roman" w:hAnsi="Times New Roman" w:eastAsia="仿宋_GB2312" w:cs="Times New Roman"/>
          <w:color w:val="101010"/>
          <w:kern w:val="0"/>
          <w:sz w:val="24"/>
          <w:szCs w:val="24"/>
          <w:lang w:val="en-US" w:eastAsia="zh-CN"/>
        </w:rPr>
        <w:t>11</w:t>
      </w:r>
      <w:r>
        <w:rPr>
          <w:rFonts w:ascii="Times New Roman" w:hAnsi="Times New Roman" w:eastAsia="仿宋_GB2312" w:cs="Times New Roman"/>
          <w:color w:val="101010"/>
          <w:kern w:val="0"/>
          <w:sz w:val="24"/>
          <w:szCs w:val="24"/>
        </w:rPr>
        <w:t>月</w:t>
      </w:r>
      <w:r>
        <w:rPr>
          <w:rFonts w:hint="eastAsia" w:ascii="Times New Roman" w:hAnsi="Times New Roman" w:eastAsia="仿宋_GB2312" w:cs="Times New Roman"/>
          <w:color w:val="101010"/>
          <w:kern w:val="0"/>
          <w:sz w:val="24"/>
          <w:szCs w:val="24"/>
          <w:lang w:val="en-US" w:eastAsia="zh-CN"/>
        </w:rPr>
        <w:t>24</w:t>
      </w:r>
      <w:r>
        <w:rPr>
          <w:rFonts w:ascii="Times New Roman" w:hAnsi="Times New Roman" w:eastAsia="仿宋_GB2312" w:cs="Times New Roman"/>
          <w:color w:val="101010"/>
          <w:kern w:val="0"/>
          <w:sz w:val="24"/>
          <w:szCs w:val="24"/>
        </w:rPr>
        <w:t>日到期。该理财产品到期兑付情况如下：</w:t>
      </w:r>
    </w:p>
    <w:tbl>
      <w:tblPr>
        <w:tblStyle w:val="5"/>
        <w:tblW w:w="8461" w:type="dxa"/>
        <w:tblCellSpacing w:w="0" w:type="dxa"/>
        <w:tblInd w:w="0" w:type="dxa"/>
        <w:tblBorders>
          <w:top w:val="single" w:color="9C9B9B" w:sz="6" w:space="0"/>
          <w:left w:val="single" w:color="9C9B9B" w:sz="6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02"/>
        <w:gridCol w:w="4059"/>
      </w:tblGrid>
      <w:tr>
        <w:tblPrEx>
          <w:tblBorders>
            <w:top w:val="single" w:color="9C9B9B" w:sz="6" w:space="0"/>
            <w:left w:val="single" w:color="9C9B9B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tblCellSpacing w:w="0" w:type="dxa"/>
        </w:trPr>
        <w:tc>
          <w:tcPr>
            <w:tcW w:w="44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Arial" w:hAnsi="Arial" w:eastAsia="宋体" w:cs="Arial"/>
                <w:color w:val="10101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101010"/>
                <w:kern w:val="0"/>
                <w:sz w:val="24"/>
                <w:szCs w:val="24"/>
              </w:rPr>
              <w:t>投资运作起始日</w:t>
            </w:r>
          </w:p>
        </w:tc>
        <w:tc>
          <w:tcPr>
            <w:tcW w:w="405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Arial" w:hAnsi="Arial" w:eastAsia="宋体" w:cs="Arial"/>
                <w:color w:val="101010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101010"/>
                <w:kern w:val="0"/>
                <w:sz w:val="24"/>
                <w:szCs w:val="24"/>
              </w:rPr>
              <w:t>2021年</w:t>
            </w:r>
            <w:r>
              <w:rPr>
                <w:rFonts w:hint="eastAsia" w:ascii="仿宋_GB2312" w:hAnsi="Times New Roman" w:eastAsia="仿宋_GB2312" w:cs="Times New Roman"/>
                <w:color w:val="101010"/>
                <w:kern w:val="0"/>
                <w:sz w:val="24"/>
                <w:szCs w:val="24"/>
                <w:lang w:val="en-US" w:eastAsia="zh-CN"/>
              </w:rPr>
              <w:t>11</w:t>
            </w:r>
            <w:r>
              <w:rPr>
                <w:rFonts w:hint="eastAsia" w:ascii="仿宋_GB2312" w:hAnsi="Times New Roman" w:eastAsia="仿宋_GB2312" w:cs="Times New Roman"/>
                <w:color w:val="101010"/>
                <w:kern w:val="0"/>
                <w:sz w:val="24"/>
                <w:szCs w:val="24"/>
              </w:rPr>
              <w:t>月</w:t>
            </w:r>
            <w:r>
              <w:rPr>
                <w:rFonts w:hint="eastAsia" w:ascii="仿宋_GB2312" w:hAnsi="Times New Roman" w:eastAsia="仿宋_GB2312" w:cs="Times New Roman"/>
                <w:color w:val="101010"/>
                <w:kern w:val="0"/>
                <w:sz w:val="24"/>
                <w:szCs w:val="24"/>
                <w:lang w:val="en-US" w:eastAsia="zh-CN"/>
              </w:rPr>
              <w:t>17</w:t>
            </w:r>
            <w:r>
              <w:rPr>
                <w:rFonts w:hint="eastAsia" w:ascii="仿宋_GB2312" w:hAnsi="Times New Roman" w:eastAsia="仿宋_GB2312" w:cs="Times New Roman"/>
                <w:color w:val="101010"/>
                <w:kern w:val="0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9C9B9B" w:sz="6" w:space="0"/>
            <w:left w:val="single" w:color="9C9B9B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440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Arial" w:hAnsi="Arial" w:eastAsia="宋体" w:cs="Arial"/>
                <w:color w:val="10101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101010"/>
                <w:kern w:val="0"/>
                <w:sz w:val="24"/>
                <w:szCs w:val="24"/>
              </w:rPr>
              <w:t>投资运作结束日</w:t>
            </w:r>
          </w:p>
        </w:tc>
        <w:tc>
          <w:tcPr>
            <w:tcW w:w="405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Arial" w:hAnsi="Arial" w:eastAsia="宋体" w:cs="Arial"/>
                <w:color w:val="101010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101010"/>
                <w:kern w:val="0"/>
                <w:sz w:val="24"/>
                <w:szCs w:val="24"/>
              </w:rPr>
              <w:t>2022年</w:t>
            </w:r>
            <w:r>
              <w:rPr>
                <w:rFonts w:hint="eastAsia" w:ascii="仿宋_GB2312" w:hAnsi="Times New Roman" w:eastAsia="仿宋_GB2312" w:cs="Times New Roman"/>
                <w:color w:val="101010"/>
                <w:kern w:val="0"/>
                <w:sz w:val="24"/>
                <w:szCs w:val="24"/>
                <w:lang w:val="en-US" w:eastAsia="zh-CN"/>
              </w:rPr>
              <w:t>11</w:t>
            </w:r>
            <w:r>
              <w:rPr>
                <w:rFonts w:hint="eastAsia" w:ascii="仿宋_GB2312" w:hAnsi="Times New Roman" w:eastAsia="仿宋_GB2312" w:cs="Times New Roman"/>
                <w:color w:val="101010"/>
                <w:kern w:val="0"/>
                <w:sz w:val="24"/>
                <w:szCs w:val="24"/>
              </w:rPr>
              <w:t>月</w:t>
            </w:r>
            <w:r>
              <w:rPr>
                <w:rFonts w:hint="eastAsia" w:ascii="仿宋_GB2312" w:hAnsi="Times New Roman" w:eastAsia="仿宋_GB2312" w:cs="Times New Roman"/>
                <w:color w:val="101010"/>
                <w:kern w:val="0"/>
                <w:sz w:val="24"/>
                <w:szCs w:val="24"/>
                <w:lang w:val="en-US" w:eastAsia="zh-CN"/>
              </w:rPr>
              <w:t>24</w:t>
            </w:r>
            <w:r>
              <w:rPr>
                <w:rFonts w:hint="eastAsia" w:ascii="仿宋_GB2312" w:hAnsi="Times New Roman" w:eastAsia="仿宋_GB2312" w:cs="Times New Roman"/>
                <w:color w:val="101010"/>
                <w:kern w:val="0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9C9B9B" w:sz="6" w:space="0"/>
            <w:left w:val="single" w:color="9C9B9B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440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Arial" w:hAnsi="Arial" w:eastAsia="宋体" w:cs="Arial"/>
                <w:color w:val="10101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101010"/>
                <w:kern w:val="0"/>
                <w:sz w:val="24"/>
                <w:szCs w:val="24"/>
              </w:rPr>
              <w:t>实际理财期限（天）</w:t>
            </w:r>
          </w:p>
        </w:tc>
        <w:tc>
          <w:tcPr>
            <w:tcW w:w="405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hint="default" w:ascii="Arial" w:hAnsi="Arial" w:eastAsia="宋体" w:cs="Arial"/>
                <w:color w:val="10101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101010"/>
                <w:kern w:val="0"/>
                <w:sz w:val="24"/>
                <w:szCs w:val="24"/>
                <w:lang w:val="en-US" w:eastAsia="zh-CN"/>
              </w:rPr>
              <w:t>372</w:t>
            </w:r>
          </w:p>
        </w:tc>
      </w:tr>
      <w:tr>
        <w:tblPrEx>
          <w:tblBorders>
            <w:top w:val="single" w:color="9C9B9B" w:sz="6" w:space="0"/>
            <w:left w:val="single" w:color="9C9B9B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440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Arial" w:hAnsi="Arial" w:eastAsia="宋体" w:cs="Arial"/>
                <w:color w:val="10101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101010"/>
                <w:kern w:val="0"/>
                <w:sz w:val="24"/>
                <w:szCs w:val="24"/>
              </w:rPr>
              <w:t>产品到期单位净值</w:t>
            </w:r>
          </w:p>
        </w:tc>
        <w:tc>
          <w:tcPr>
            <w:tcW w:w="405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hint="default" w:ascii="Arial" w:hAnsi="Arial" w:eastAsia="仿宋_GB2312" w:cs="Arial"/>
                <w:color w:val="101010"/>
                <w:kern w:val="0"/>
                <w:szCs w:val="21"/>
                <w:lang w:val="en-US" w:eastAsia="zh-CN"/>
              </w:rPr>
            </w:pPr>
            <w:r>
              <w:rPr>
                <w:rFonts w:ascii="Times New Roman" w:hAnsi="Times New Roman" w:eastAsia="仿宋_GB2312" w:cs="Times New Roman"/>
                <w:color w:val="101010"/>
                <w:kern w:val="0"/>
                <w:sz w:val="24"/>
                <w:szCs w:val="24"/>
              </w:rPr>
              <w:t>1</w:t>
            </w:r>
            <w:r>
              <w:rPr>
                <w:rFonts w:hint="eastAsia" w:ascii="Times New Roman" w:hAnsi="Times New Roman" w:eastAsia="仿宋_GB2312" w:cs="Times New Roman"/>
                <w:color w:val="101010"/>
                <w:kern w:val="0"/>
                <w:sz w:val="24"/>
                <w:szCs w:val="24"/>
                <w:lang w:val="en-US" w:eastAsia="zh-CN"/>
              </w:rPr>
              <w:t>.0407</w:t>
            </w:r>
          </w:p>
        </w:tc>
      </w:tr>
    </w:tbl>
    <w:p>
      <w:pPr>
        <w:widowControl/>
        <w:spacing w:before="150" w:line="360" w:lineRule="auto"/>
        <w:jc w:val="left"/>
        <w:rPr>
          <w:rFonts w:ascii="Arial" w:hAnsi="Arial" w:eastAsia="宋体" w:cs="Arial"/>
          <w:color w:val="101010"/>
          <w:kern w:val="0"/>
          <w:szCs w:val="21"/>
        </w:rPr>
      </w:pPr>
      <w:r>
        <w:rPr>
          <w:rFonts w:ascii="Times New Roman" w:hAnsi="Times New Roman" w:eastAsia="仿宋_GB2312" w:cs="Times New Roman"/>
          <w:color w:val="101010"/>
          <w:kern w:val="0"/>
          <w:sz w:val="24"/>
          <w:szCs w:val="24"/>
        </w:rPr>
        <w:t>　　客户兑付资金将于投资运作结束日后2个工作日内全部划入客户指定的账户。</w:t>
      </w:r>
    </w:p>
    <w:p>
      <w:pPr>
        <w:widowControl/>
        <w:spacing w:before="100" w:beforeAutospacing="1" w:after="100" w:afterAutospacing="1" w:line="360" w:lineRule="auto"/>
        <w:ind w:firstLine="480"/>
        <w:jc w:val="left"/>
        <w:rPr>
          <w:rFonts w:ascii="Arial" w:hAnsi="Arial" w:eastAsia="宋体" w:cs="Arial"/>
          <w:color w:val="101010"/>
          <w:kern w:val="0"/>
          <w:szCs w:val="21"/>
        </w:rPr>
      </w:pPr>
      <w:r>
        <w:rPr>
          <w:rFonts w:ascii="Times New Roman" w:hAnsi="Times New Roman" w:eastAsia="仿宋_GB2312" w:cs="Times New Roman"/>
          <w:color w:val="101010"/>
          <w:kern w:val="0"/>
          <w:sz w:val="24"/>
          <w:szCs w:val="24"/>
        </w:rPr>
        <w:t>特此报告。</w:t>
      </w:r>
    </w:p>
    <w:p>
      <w:pPr>
        <w:widowControl/>
        <w:spacing w:before="100" w:beforeAutospacing="1" w:after="100" w:afterAutospacing="1" w:line="360" w:lineRule="auto"/>
        <w:ind w:firstLine="480"/>
        <w:jc w:val="left"/>
        <w:rPr>
          <w:rFonts w:ascii="Arial" w:hAnsi="Arial" w:eastAsia="宋体" w:cs="Arial"/>
          <w:color w:val="101010"/>
          <w:kern w:val="0"/>
          <w:szCs w:val="21"/>
        </w:rPr>
      </w:pPr>
      <w:r>
        <w:rPr>
          <w:rFonts w:ascii="Times New Roman" w:hAnsi="Times New Roman" w:eastAsia="仿宋_GB2312" w:cs="Times New Roman"/>
          <w:color w:val="101010"/>
          <w:kern w:val="0"/>
          <w:sz w:val="24"/>
          <w:szCs w:val="24"/>
        </w:rPr>
        <w:t>感谢您投资</w:t>
      </w:r>
      <w:r>
        <w:rPr>
          <w:rFonts w:hint="eastAsia" w:ascii="Times New Roman" w:hAnsi="Times New Roman" w:eastAsia="仿宋_GB2312" w:cs="Times New Roman"/>
          <w:color w:val="101010"/>
          <w:kern w:val="0"/>
          <w:sz w:val="24"/>
          <w:szCs w:val="24"/>
        </w:rPr>
        <w:t>紫金农商</w:t>
      </w:r>
      <w:r>
        <w:rPr>
          <w:rFonts w:ascii="Times New Roman" w:hAnsi="Times New Roman" w:eastAsia="仿宋_GB2312" w:cs="Times New Roman"/>
          <w:color w:val="101010"/>
          <w:kern w:val="0"/>
          <w:sz w:val="24"/>
          <w:szCs w:val="24"/>
        </w:rPr>
        <w:t>银行本期理财产品，敬请继续关注我行近期推出的其他理财产品。</w:t>
      </w:r>
    </w:p>
    <w:p>
      <w:pPr>
        <w:widowControl/>
        <w:spacing w:before="100" w:beforeAutospacing="1" w:after="100" w:afterAutospacing="1" w:line="360" w:lineRule="auto"/>
        <w:ind w:firstLine="480"/>
        <w:jc w:val="left"/>
        <w:rPr>
          <w:rFonts w:ascii="Arial" w:hAnsi="Arial" w:eastAsia="宋体" w:cs="Arial"/>
          <w:color w:val="101010"/>
          <w:kern w:val="0"/>
          <w:szCs w:val="21"/>
        </w:rPr>
      </w:pPr>
      <w:r>
        <w:rPr>
          <w:rFonts w:ascii="Times New Roman" w:hAnsi="Times New Roman" w:eastAsia="仿宋_GB2312" w:cs="Times New Roman"/>
          <w:color w:val="101010"/>
          <w:kern w:val="0"/>
          <w:sz w:val="24"/>
          <w:szCs w:val="24"/>
        </w:rPr>
        <w:t> </w:t>
      </w:r>
    </w:p>
    <w:p>
      <w:pPr>
        <w:widowControl/>
        <w:spacing w:before="100" w:beforeAutospacing="1" w:after="100" w:afterAutospacing="1" w:line="360" w:lineRule="auto"/>
        <w:jc w:val="right"/>
        <w:rPr>
          <w:rFonts w:ascii="Arial" w:hAnsi="Arial" w:eastAsia="宋体" w:cs="Arial"/>
          <w:color w:val="101010"/>
          <w:kern w:val="0"/>
          <w:szCs w:val="21"/>
        </w:rPr>
      </w:pPr>
      <w:r>
        <w:rPr>
          <w:rFonts w:ascii="Times New Roman" w:hAnsi="Times New Roman" w:eastAsia="仿宋_GB2312" w:cs="Times New Roman"/>
          <w:color w:val="101010"/>
          <w:kern w:val="0"/>
          <w:sz w:val="24"/>
          <w:szCs w:val="24"/>
        </w:rPr>
        <w:t>江苏</w:t>
      </w:r>
      <w:r>
        <w:rPr>
          <w:rFonts w:hint="eastAsia" w:ascii="Times New Roman" w:hAnsi="Times New Roman" w:eastAsia="仿宋_GB2312" w:cs="Times New Roman"/>
          <w:color w:val="101010"/>
          <w:kern w:val="0"/>
          <w:sz w:val="24"/>
          <w:szCs w:val="24"/>
        </w:rPr>
        <w:t>紫金农村商业</w:t>
      </w:r>
      <w:r>
        <w:rPr>
          <w:rFonts w:ascii="Times New Roman" w:hAnsi="Times New Roman" w:eastAsia="仿宋_GB2312" w:cs="Times New Roman"/>
          <w:color w:val="101010"/>
          <w:kern w:val="0"/>
          <w:sz w:val="24"/>
          <w:szCs w:val="24"/>
        </w:rPr>
        <w:t>银行股份有限公司</w:t>
      </w:r>
    </w:p>
    <w:p>
      <w:pPr>
        <w:widowControl/>
        <w:spacing w:before="100" w:beforeAutospacing="1" w:after="100" w:afterAutospacing="1" w:line="360" w:lineRule="auto"/>
        <w:jc w:val="right"/>
        <w:rPr>
          <w:rFonts w:ascii="Arial" w:hAnsi="Arial" w:eastAsia="宋体" w:cs="Arial"/>
          <w:color w:val="101010"/>
          <w:kern w:val="0"/>
          <w:szCs w:val="21"/>
        </w:rPr>
      </w:pPr>
      <w:r>
        <w:rPr>
          <w:rFonts w:hint="eastAsia" w:ascii="仿宋_GB2312" w:hAnsi="Times New Roman" w:eastAsia="仿宋_GB2312" w:cs="Times New Roman"/>
          <w:color w:val="101010"/>
          <w:kern w:val="0"/>
          <w:sz w:val="24"/>
          <w:szCs w:val="24"/>
        </w:rPr>
        <w:t>2022年</w:t>
      </w:r>
      <w:r>
        <w:rPr>
          <w:rFonts w:hint="eastAsia" w:ascii="仿宋_GB2312" w:hAnsi="Times New Roman" w:eastAsia="仿宋_GB2312" w:cs="Times New Roman"/>
          <w:color w:val="101010"/>
          <w:kern w:val="0"/>
          <w:sz w:val="24"/>
          <w:szCs w:val="24"/>
          <w:lang w:val="en-US" w:eastAsia="zh-CN"/>
        </w:rPr>
        <w:t>11</w:t>
      </w:r>
      <w:r>
        <w:rPr>
          <w:rFonts w:hint="eastAsia" w:ascii="仿宋_GB2312" w:hAnsi="Times New Roman" w:eastAsia="仿宋_GB2312" w:cs="Times New Roman"/>
          <w:color w:val="101010"/>
          <w:kern w:val="0"/>
          <w:sz w:val="24"/>
          <w:szCs w:val="24"/>
        </w:rPr>
        <w:t>月</w:t>
      </w:r>
      <w:r>
        <w:rPr>
          <w:rFonts w:hint="eastAsia" w:ascii="仿宋_GB2312" w:hAnsi="Times New Roman" w:eastAsia="仿宋_GB2312" w:cs="Times New Roman"/>
          <w:color w:val="101010"/>
          <w:kern w:val="0"/>
          <w:sz w:val="24"/>
          <w:szCs w:val="24"/>
          <w:lang w:val="en-US" w:eastAsia="zh-CN"/>
        </w:rPr>
        <w:t>24</w:t>
      </w:r>
      <w:bookmarkStart w:id="0" w:name="_GoBack"/>
      <w:bookmarkEnd w:id="0"/>
      <w:r>
        <w:rPr>
          <w:rFonts w:hint="eastAsia" w:ascii="仿宋_GB2312" w:hAnsi="Times New Roman" w:eastAsia="仿宋_GB2312" w:cs="Times New Roman"/>
          <w:color w:val="101010"/>
          <w:kern w:val="0"/>
          <w:sz w:val="24"/>
          <w:szCs w:val="24"/>
        </w:rPr>
        <w:t>日</w:t>
      </w:r>
    </w:p>
    <w:p>
      <w:pPr>
        <w:widowControl/>
        <w:spacing w:before="100" w:beforeAutospacing="1" w:after="100" w:afterAutospacing="1" w:line="360" w:lineRule="auto"/>
        <w:jc w:val="left"/>
        <w:rPr>
          <w:rFonts w:ascii="Arial" w:hAnsi="Arial" w:eastAsia="宋体" w:cs="Arial"/>
          <w:color w:val="101010"/>
          <w:kern w:val="0"/>
          <w:szCs w:val="21"/>
        </w:rPr>
      </w:pPr>
      <w:r>
        <w:rPr>
          <w:rFonts w:ascii="Times New Roman" w:hAnsi="Times New Roman" w:eastAsia="仿宋_GB2312" w:cs="Times New Roman"/>
          <w:color w:val="101010"/>
          <w:kern w:val="0"/>
          <w:sz w:val="24"/>
          <w:szCs w:val="24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443EC"/>
    <w:rsid w:val="000443EC"/>
    <w:rsid w:val="000A498F"/>
    <w:rsid w:val="00176CD0"/>
    <w:rsid w:val="00306A0D"/>
    <w:rsid w:val="00646B45"/>
    <w:rsid w:val="00675F93"/>
    <w:rsid w:val="00757224"/>
    <w:rsid w:val="007B39C5"/>
    <w:rsid w:val="008B5E21"/>
    <w:rsid w:val="009436A3"/>
    <w:rsid w:val="009D1E7E"/>
    <w:rsid w:val="009E7C04"/>
    <w:rsid w:val="00A6397B"/>
    <w:rsid w:val="00BB0FB1"/>
    <w:rsid w:val="00C46546"/>
    <w:rsid w:val="00C46C15"/>
    <w:rsid w:val="00DB4EBE"/>
    <w:rsid w:val="00E1008A"/>
    <w:rsid w:val="00E957B6"/>
    <w:rsid w:val="00EC23FE"/>
    <w:rsid w:val="00F20FAB"/>
    <w:rsid w:val="00FC3EBE"/>
    <w:rsid w:val="039134F3"/>
    <w:rsid w:val="11BA4F3E"/>
    <w:rsid w:val="161E28D0"/>
    <w:rsid w:val="2CC925F4"/>
    <w:rsid w:val="4C6F2201"/>
    <w:rsid w:val="523F3F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  <w:style w:type="character" w:customStyle="1" w:styleId="8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39</Words>
  <Characters>228</Characters>
  <Lines>1</Lines>
  <Paragraphs>1</Paragraphs>
  <TotalTime>665</TotalTime>
  <ScaleCrop>false</ScaleCrop>
  <LinksUpToDate>false</LinksUpToDate>
  <CharactersWithSpaces>266</CharactersWithSpaces>
  <Application>WPS Office_11.8.2.8696_F1E327BC-269C-435d-A152-05C5408002CA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2020-03-03T07:50:00Z</dcterms:created>
  <dc:creator>user</dc:creator>
  <cp:lastModifiedBy>Lenovo</cp:lastModifiedBy>
  <dcterms:modified xsi:type="dcterms:W3CDTF">2022-11-24T02:24:15Z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2052-11.8.2.8696</vt:lpwstr>
  </property>
</Properties>
</file>