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Times New Roman" w:asciiTheme="minorEastAsia" w:hAnsiTheme="minorEastAsia"/>
          <w:b/>
          <w:szCs w:val="21"/>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hint="eastAsia" w:ascii="华文中宋" w:hAnsi="华文中宋" w:eastAsia="华文中宋" w:cs="Times New Roman"/>
          <w:b/>
          <w:sz w:val="44"/>
          <w:szCs w:val="44"/>
        </w:rPr>
      </w:pPr>
    </w:p>
    <w:p>
      <w:pPr>
        <w:tabs>
          <w:tab w:val="right" w:pos="8505"/>
        </w:tabs>
        <w:snapToGrid w:val="0"/>
        <w:spacing w:line="540" w:lineRule="exact"/>
        <w:jc w:val="center"/>
        <w:rPr>
          <w:rFonts w:ascii="华文中宋" w:hAnsi="华文中宋" w:eastAsia="华文中宋" w:cs="Times New Roman"/>
          <w:b/>
          <w:sz w:val="44"/>
          <w:szCs w:val="44"/>
        </w:rPr>
      </w:pPr>
      <w:r>
        <w:rPr>
          <w:rFonts w:hint="eastAsia" w:ascii="华文中宋" w:hAnsi="华文中宋" w:eastAsia="华文中宋" w:cs="Times New Roman"/>
          <w:b/>
          <w:sz w:val="44"/>
          <w:szCs w:val="44"/>
        </w:rPr>
        <w:t>江苏紫金农村商业银行股份有限公司</w:t>
      </w:r>
    </w:p>
    <w:p>
      <w:pPr>
        <w:tabs>
          <w:tab w:val="right" w:pos="8505"/>
        </w:tabs>
        <w:snapToGrid w:val="0"/>
        <w:spacing w:line="540" w:lineRule="exact"/>
        <w:jc w:val="center"/>
        <w:rPr>
          <w:rFonts w:ascii="华文中宋" w:hAnsi="华文中宋" w:eastAsia="华文中宋" w:cs="Times New Roman"/>
          <w:b/>
          <w:sz w:val="44"/>
          <w:szCs w:val="44"/>
        </w:rPr>
      </w:pPr>
      <w:r>
        <w:rPr>
          <w:rFonts w:ascii="华文中宋" w:hAnsi="华文中宋" w:eastAsia="华文中宋" w:cs="Times New Roman"/>
          <w:b/>
          <w:sz w:val="44"/>
          <w:szCs w:val="44"/>
        </w:rPr>
        <w:t>2024年</w:t>
      </w:r>
      <w:r>
        <w:rPr>
          <w:rFonts w:hint="eastAsia" w:ascii="华文中宋" w:hAnsi="华文中宋" w:eastAsia="华文中宋" w:cs="Times New Roman"/>
          <w:b/>
          <w:sz w:val="44"/>
          <w:szCs w:val="44"/>
        </w:rPr>
        <w:t>三季度</w:t>
      </w:r>
      <w:r>
        <w:rPr>
          <w:rFonts w:ascii="华文中宋" w:hAnsi="华文中宋" w:eastAsia="华文中宋" w:cs="Times New Roman"/>
          <w:b/>
          <w:sz w:val="44"/>
          <w:szCs w:val="44"/>
        </w:rPr>
        <w:t>第三支柱信</w:t>
      </w:r>
      <w:r>
        <w:rPr>
          <w:rFonts w:hint="eastAsia" w:ascii="华文中宋" w:hAnsi="华文中宋" w:eastAsia="华文中宋" w:cs="Times New Roman"/>
          <w:b/>
          <w:sz w:val="44"/>
          <w:szCs w:val="44"/>
        </w:rPr>
        <w:t>息披露报告</w:t>
      </w: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sdt>
      <w:sdtPr>
        <w:rPr>
          <w:rFonts w:asciiTheme="minorHAnsi" w:hAnsiTheme="minorHAnsi" w:eastAsiaTheme="minorEastAsia" w:cstheme="minorBidi"/>
          <w:b w:val="0"/>
          <w:bCs w:val="0"/>
          <w:color w:val="auto"/>
          <w:kern w:val="2"/>
          <w:sz w:val="21"/>
          <w:szCs w:val="22"/>
          <w:lang w:val="zh-CN"/>
        </w:rPr>
        <w:id w:val="591283940"/>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18"/>
            <w:spacing w:line="360" w:lineRule="auto"/>
            <w:jc w:val="center"/>
            <w:rPr>
              <w:color w:val="auto"/>
              <w:sz w:val="36"/>
              <w:szCs w:val="32"/>
            </w:rPr>
          </w:pPr>
          <w:r>
            <w:rPr>
              <w:color w:val="auto"/>
              <w:sz w:val="36"/>
              <w:szCs w:val="32"/>
              <w:lang w:val="zh-CN"/>
            </w:rPr>
            <w:t>目录</w:t>
          </w:r>
        </w:p>
        <w:p>
          <w:pPr>
            <w:pStyle w:val="8"/>
            <w:rPr>
              <w:rFonts w:asciiTheme="minorHAnsi" w:hAnsiTheme="minorHAnsi"/>
              <w:b w:val="0"/>
              <w:kern w:val="2"/>
              <w:sz w:val="21"/>
              <w:szCs w:val="22"/>
            </w:rPr>
          </w:pPr>
          <w:r>
            <w:fldChar w:fldCharType="begin"/>
          </w:r>
          <w:r>
            <w:instrText xml:space="preserve"> TOC \o "1-3" \h \z \u </w:instrText>
          </w:r>
          <w:r>
            <w:fldChar w:fldCharType="separate"/>
          </w:r>
          <w:r>
            <w:fldChar w:fldCharType="begin"/>
          </w:r>
          <w:r>
            <w:instrText xml:space="preserve"> HYPERLINK \l "_Toc179827104" </w:instrText>
          </w:r>
          <w:r>
            <w:fldChar w:fldCharType="separate"/>
          </w:r>
          <w:r>
            <w:rPr>
              <w:rStyle w:val="13"/>
            </w:rPr>
            <w:t xml:space="preserve">1  </w:t>
          </w:r>
          <w:r>
            <w:rPr>
              <w:rStyle w:val="13"/>
              <w:rFonts w:hint="eastAsia"/>
            </w:rPr>
            <w:t>引言</w:t>
          </w:r>
          <w:r>
            <w:tab/>
          </w:r>
          <w:r>
            <w:fldChar w:fldCharType="begin"/>
          </w:r>
          <w:r>
            <w:instrText xml:space="preserve"> PAGEREF _Toc179827104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"_Toc179827105" </w:instrText>
          </w:r>
          <w:r>
            <w:fldChar w:fldCharType="separate"/>
          </w:r>
          <w:r>
            <w:rPr>
              <w:rStyle w:val="13"/>
              <w:rFonts w:asciiTheme="minorEastAsia" w:hAnsiTheme="minorEastAsia"/>
            </w:rPr>
            <w:t xml:space="preserve">1.1  </w:t>
          </w:r>
          <w:r>
            <w:rPr>
              <w:rStyle w:val="13"/>
              <w:rFonts w:hint="eastAsia" w:asciiTheme="minorEastAsia" w:hAnsiTheme="minorEastAsia"/>
            </w:rPr>
            <w:t>披露依据</w:t>
          </w:r>
          <w:r>
            <w:tab/>
          </w:r>
          <w:r>
            <w:fldChar w:fldCharType="begin"/>
          </w:r>
          <w:r>
            <w:instrText xml:space="preserve"> PAGEREF _Toc179827105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"_Toc179827106" </w:instrText>
          </w:r>
          <w:r>
            <w:fldChar w:fldCharType="separate"/>
          </w:r>
          <w:r>
            <w:rPr>
              <w:rStyle w:val="13"/>
              <w:rFonts w:asciiTheme="minorEastAsia" w:hAnsiTheme="minorEastAsia"/>
            </w:rPr>
            <w:t xml:space="preserve">1.2  </w:t>
          </w:r>
          <w:r>
            <w:rPr>
              <w:rStyle w:val="13"/>
              <w:rFonts w:hint="eastAsia" w:asciiTheme="minorEastAsia" w:hAnsiTheme="minorEastAsia"/>
            </w:rPr>
            <w:t>披露声明</w:t>
          </w:r>
          <w:r>
            <w:tab/>
          </w:r>
          <w:r>
            <w:fldChar w:fldCharType="begin"/>
          </w:r>
          <w:r>
            <w:instrText xml:space="preserve"> PAGEREF _Toc179827106 \h </w:instrText>
          </w:r>
          <w:r>
            <w:fldChar w:fldCharType="separate"/>
          </w:r>
          <w:r>
            <w:t>1</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"_Toc179827107" </w:instrText>
          </w:r>
          <w:r>
            <w:fldChar w:fldCharType="separate"/>
          </w:r>
          <w:r>
            <w:rPr>
              <w:rStyle w:val="13"/>
            </w:rPr>
            <w:t xml:space="preserve">2  </w:t>
          </w:r>
          <w:r>
            <w:rPr>
              <w:rStyle w:val="13"/>
              <w:rFonts w:hint="eastAsia"/>
            </w:rPr>
            <w:t>风险管理、关键审慎监管指标和风险加权资产概览</w:t>
          </w:r>
          <w:r>
            <w:tab/>
          </w:r>
          <w:r>
            <w:fldChar w:fldCharType="begin"/>
          </w:r>
          <w:r>
            <w:instrText xml:space="preserve"> PAGEREF _Toc179827107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"_Toc179827108" </w:instrText>
          </w:r>
          <w:r>
            <w:fldChar w:fldCharType="separate"/>
          </w:r>
          <w:r>
            <w:rPr>
              <w:rStyle w:val="13"/>
              <w:rFonts w:asciiTheme="minorEastAsia" w:hAnsiTheme="minorEastAsia"/>
            </w:rPr>
            <w:t xml:space="preserve">2.1  </w:t>
          </w:r>
          <w:r>
            <w:rPr>
              <w:rStyle w:val="13"/>
              <w:rFonts w:hint="eastAsia" w:asciiTheme="minorEastAsia" w:hAnsiTheme="minorEastAsia"/>
            </w:rPr>
            <w:t>关键审慎监管指标</w:t>
          </w:r>
          <w:r>
            <w:tab/>
          </w:r>
          <w:r>
            <w:fldChar w:fldCharType="begin"/>
          </w:r>
          <w:r>
            <w:instrText xml:space="preserve"> PAGEREF _Toc179827108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"_Toc179827109" </w:instrText>
          </w:r>
          <w:r>
            <w:fldChar w:fldCharType="separate"/>
          </w:r>
          <w:r>
            <w:rPr>
              <w:rStyle w:val="13"/>
              <w:rFonts w:asciiTheme="minorEastAsia" w:hAnsiTheme="minorEastAsia"/>
            </w:rPr>
            <w:t xml:space="preserve">2.2  </w:t>
          </w:r>
          <w:r>
            <w:rPr>
              <w:rStyle w:val="13"/>
              <w:rFonts w:hint="eastAsia" w:asciiTheme="minorEastAsia" w:hAnsiTheme="minorEastAsia"/>
            </w:rPr>
            <w:t>风险加权资产概况</w:t>
          </w:r>
          <w:r>
            <w:tab/>
          </w:r>
          <w:r>
            <w:fldChar w:fldCharType="begin"/>
          </w:r>
          <w:r>
            <w:instrText xml:space="preserve"> PAGEREF _Toc179827109 \h </w:instrText>
          </w:r>
          <w:r>
            <w:fldChar w:fldCharType="separate"/>
          </w:r>
          <w:r>
            <w:t>3</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"_Toc179827110" </w:instrText>
          </w:r>
          <w:r>
            <w:fldChar w:fldCharType="separate"/>
          </w:r>
          <w:r>
            <w:rPr>
              <w:rStyle w:val="13"/>
            </w:rPr>
            <w:t xml:space="preserve">3  </w:t>
          </w:r>
          <w:r>
            <w:rPr>
              <w:rStyle w:val="13"/>
              <w:rFonts w:hint="eastAsia"/>
            </w:rPr>
            <w:t>杠杆率</w:t>
          </w:r>
          <w:r>
            <w:tab/>
          </w:r>
          <w:r>
            <w:fldChar w:fldCharType="begin"/>
          </w:r>
          <w:r>
            <w:instrText xml:space="preserve"> PAGEREF _Toc179827110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"_Toc179827111" </w:instrText>
          </w:r>
          <w:r>
            <w:fldChar w:fldCharType="separate"/>
          </w:r>
          <w:r>
            <w:rPr>
              <w:rStyle w:val="13"/>
              <w:rFonts w:asciiTheme="minorEastAsia" w:hAnsiTheme="minorEastAsia"/>
            </w:rPr>
            <w:t xml:space="preserve">3.1  </w:t>
          </w:r>
          <w:r>
            <w:rPr>
              <w:rStyle w:val="13"/>
              <w:rFonts w:hint="eastAsia" w:asciiTheme="minorEastAsia" w:hAnsiTheme="minorEastAsia"/>
            </w:rPr>
            <w:t>杠杆率监管项目与相关会计项目的差异</w:t>
          </w:r>
          <w:r>
            <w:tab/>
          </w:r>
          <w:r>
            <w:fldChar w:fldCharType="begin"/>
          </w:r>
          <w:r>
            <w:instrText xml:space="preserve"> PAGEREF _Toc179827111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"_Toc179827112" </w:instrText>
          </w:r>
          <w:r>
            <w:fldChar w:fldCharType="separate"/>
          </w:r>
          <w:r>
            <w:rPr>
              <w:rStyle w:val="13"/>
              <w:rFonts w:asciiTheme="minorEastAsia" w:hAnsiTheme="minorEastAsia"/>
            </w:rPr>
            <w:t xml:space="preserve">3.2  </w:t>
          </w:r>
          <w:r>
            <w:rPr>
              <w:rStyle w:val="13"/>
              <w:rFonts w:hint="eastAsia" w:asciiTheme="minorEastAsia" w:hAnsiTheme="minorEastAsia"/>
            </w:rPr>
            <w:t>杠杆率</w:t>
          </w:r>
          <w:r>
            <w:tab/>
          </w:r>
          <w:r>
            <w:fldChar w:fldCharType="begin"/>
          </w:r>
          <w:r>
            <w:instrText xml:space="preserve"> PAGEREF _Toc179827112 \h </w:instrText>
          </w:r>
          <w:r>
            <w:fldChar w:fldCharType="separate"/>
          </w:r>
          <w:r>
            <w:t>5</w:t>
          </w:r>
          <w:r>
            <w:fldChar w:fldCharType="end"/>
          </w:r>
          <w:r>
            <w:fldChar w:fldCharType="end"/>
          </w:r>
        </w:p>
        <w:p>
          <w:pPr>
            <w:spacing w:line="360" w:lineRule="auto"/>
          </w:pPr>
          <w:r>
            <w:rPr>
              <w:rFonts w:asciiTheme="minorEastAsia" w:hAnsiTheme="minorEastAsia"/>
              <w:b/>
              <w:bCs/>
              <w:sz w:val="24"/>
              <w:szCs w:val="24"/>
              <w:lang w:val="zh-CN"/>
            </w:rPr>
            <w:fldChar w:fldCharType="end"/>
          </w:r>
        </w:p>
      </w:sdtContent>
    </w:sdt>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bookmarkStart w:id="9" w:name="_GoBack"/>
      <w:bookmarkEnd w:id="9"/>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pStyle w:val="2"/>
        <w:spacing w:before="0" w:after="0" w:line="360" w:lineRule="auto"/>
        <w:rPr>
          <w:rFonts w:asciiTheme="minorEastAsia" w:hAnsiTheme="minorEastAsia"/>
          <w:sz w:val="28"/>
          <w:szCs w:val="24"/>
        </w:rPr>
        <w:sectPr>
          <w:pgSz w:w="11906" w:h="16838"/>
          <w:pgMar w:top="1304" w:right="1797" w:bottom="1304" w:left="1797" w:header="851" w:footer="992" w:gutter="0"/>
          <w:cols w:space="425" w:num="1"/>
          <w:docGrid w:type="lines" w:linePitch="312" w:charSpace="0"/>
        </w:sectPr>
      </w:pPr>
    </w:p>
    <w:p>
      <w:pPr>
        <w:pStyle w:val="2"/>
        <w:spacing w:before="0" w:after="0" w:line="360" w:lineRule="auto"/>
        <w:rPr>
          <w:rFonts w:asciiTheme="minorEastAsia" w:hAnsiTheme="minorEastAsia"/>
          <w:sz w:val="28"/>
          <w:szCs w:val="24"/>
        </w:rPr>
      </w:pPr>
      <w:bookmarkStart w:id="0" w:name="_Toc179827104"/>
      <w:r>
        <w:rPr>
          <w:rFonts w:hint="eastAsia" w:asciiTheme="minorEastAsia" w:hAnsiTheme="minorEastAsia"/>
          <w:sz w:val="28"/>
          <w:szCs w:val="24"/>
        </w:rPr>
        <w:t>1</w:t>
      </w:r>
      <w:r>
        <w:rPr>
          <w:rFonts w:asciiTheme="minorEastAsia" w:hAnsiTheme="minorEastAsia"/>
          <w:sz w:val="28"/>
          <w:szCs w:val="24"/>
        </w:rPr>
        <w:t xml:space="preserve">  </w:t>
      </w:r>
      <w:r>
        <w:rPr>
          <w:rFonts w:hint="eastAsia" w:asciiTheme="minorEastAsia" w:hAnsiTheme="minorEastAsia"/>
          <w:sz w:val="28"/>
          <w:szCs w:val="24"/>
        </w:rPr>
        <w:t>引言</w:t>
      </w:r>
      <w:bookmarkEnd w:id="0"/>
    </w:p>
    <w:p>
      <w:pPr>
        <w:pStyle w:val="3"/>
        <w:spacing w:before="0" w:after="0" w:line="360" w:lineRule="auto"/>
        <w:rPr>
          <w:rFonts w:asciiTheme="minorEastAsia" w:hAnsiTheme="minorEastAsia" w:eastAsiaTheme="minorEastAsia"/>
          <w:sz w:val="24"/>
          <w:szCs w:val="24"/>
        </w:rPr>
      </w:pPr>
      <w:bookmarkStart w:id="1" w:name="_Toc179827105"/>
      <w:r>
        <w:rPr>
          <w:rFonts w:hint="eastAsia" w:asciiTheme="minorEastAsia" w:hAnsiTheme="minorEastAsia" w:eastAsiaTheme="minorEastAsia"/>
          <w:sz w:val="24"/>
          <w:szCs w:val="24"/>
        </w:rPr>
        <w:t>1.1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披露依据</w:t>
      </w:r>
      <w:bookmarkEnd w:id="1"/>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本报告根据国家金融监督管理总局令第4号《商业银行资本管理办法》编制并披露。</w:t>
      </w:r>
    </w:p>
    <w:p>
      <w:pPr>
        <w:pStyle w:val="3"/>
        <w:spacing w:before="0" w:after="0" w:line="360" w:lineRule="auto"/>
        <w:rPr>
          <w:rFonts w:asciiTheme="minorEastAsia" w:hAnsiTheme="minorEastAsia" w:eastAsiaTheme="minorEastAsia"/>
          <w:sz w:val="24"/>
          <w:szCs w:val="24"/>
        </w:rPr>
      </w:pPr>
      <w:bookmarkStart w:id="2" w:name="_Toc179827106"/>
      <w:r>
        <w:rPr>
          <w:rFonts w:hint="eastAsia" w:asciiTheme="minorEastAsia" w:hAnsiTheme="minorEastAsia" w:eastAsiaTheme="minorEastAsia"/>
          <w:sz w:val="24"/>
          <w:szCs w:val="24"/>
        </w:rPr>
        <w:t>1.2</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披露声明</w:t>
      </w:r>
      <w:bookmarkEnd w:id="2"/>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本公司已建立第三支柱信息披露管理治理架构，由本公司董事会批准并由高级管理层实施有效的内部控制流程，对信息披露内容进行合理审查，确保第三支柱披露信息真实、可靠。</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是按照国家金融监督管理总局《商业银行资本管理办法》正文第九章信息披露及附件22商业银行信息披露内容和要求编制，而非财务会计准则。因此，报告中的部分资料并不能与同期财务报告的信息直接进行比较。</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本报告除特别注明外，均以千元为单位，因四舍五入可能存在数据尾差。</w:t>
      </w: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8"/>
        </w:rPr>
      </w:pPr>
      <w:bookmarkStart w:id="3" w:name="_Toc179827107"/>
      <w:r>
        <w:rPr>
          <w:rFonts w:hint="eastAsia" w:asciiTheme="minorEastAsia" w:hAnsiTheme="minorEastAsia"/>
          <w:sz w:val="28"/>
          <w:szCs w:val="28"/>
        </w:rPr>
        <w:t>2</w:t>
      </w:r>
      <w:r>
        <w:rPr>
          <w:rFonts w:asciiTheme="minorEastAsia" w:hAnsiTheme="minorEastAsia"/>
          <w:sz w:val="28"/>
          <w:szCs w:val="28"/>
        </w:rPr>
        <w:t xml:space="preserve">  </w:t>
      </w:r>
      <w:r>
        <w:rPr>
          <w:rFonts w:hint="eastAsia" w:asciiTheme="minorEastAsia" w:hAnsiTheme="minorEastAsia"/>
          <w:sz w:val="28"/>
          <w:szCs w:val="28"/>
        </w:rPr>
        <w:t>风险管理、关键审慎监管指标和风险加权资产概览</w:t>
      </w:r>
      <w:bookmarkEnd w:id="3"/>
    </w:p>
    <w:p>
      <w:pPr>
        <w:pStyle w:val="3"/>
        <w:spacing w:before="0" w:after="0" w:line="360" w:lineRule="auto"/>
        <w:rPr>
          <w:rFonts w:asciiTheme="minorEastAsia" w:hAnsiTheme="minorEastAsia" w:eastAsiaTheme="minorEastAsia"/>
          <w:sz w:val="24"/>
          <w:szCs w:val="24"/>
        </w:rPr>
      </w:pPr>
      <w:bookmarkStart w:id="4" w:name="_Toc179827108"/>
      <w:r>
        <w:rPr>
          <w:rFonts w:hint="eastAsia" w:asciiTheme="minorEastAsia" w:hAnsiTheme="minorEastAsia" w:eastAsiaTheme="minorEastAsia"/>
          <w:sz w:val="24"/>
          <w:szCs w:val="24"/>
        </w:rPr>
        <w:t>2.1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关键审慎监管指标</w:t>
      </w:r>
      <w:bookmarkEnd w:id="4"/>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关键审慎监管指标包括资本充足率、杠杆率以及流动性风险相关的指标。本公司关键审慎监管指标概览如下：</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表格KM1：监管并表关键审慎监管指标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10773" w:type="dxa"/>
        <w:tblInd w:w="-1026" w:type="dxa"/>
        <w:tblLayout w:type="autofit"/>
        <w:tblCellMar>
          <w:top w:w="0" w:type="dxa"/>
          <w:left w:w="108" w:type="dxa"/>
          <w:bottom w:w="0" w:type="dxa"/>
          <w:right w:w="108" w:type="dxa"/>
        </w:tblCellMar>
      </w:tblPr>
      <w:tblGrid>
        <w:gridCol w:w="531"/>
        <w:gridCol w:w="3579"/>
        <w:gridCol w:w="2181"/>
        <w:gridCol w:w="2073"/>
        <w:gridCol w:w="2409"/>
      </w:tblGrid>
      <w:tr>
        <w:tblPrEx>
          <w:tblCellMar>
            <w:top w:w="0" w:type="dxa"/>
            <w:left w:w="108" w:type="dxa"/>
            <w:bottom w:w="0" w:type="dxa"/>
            <w:right w:w="108" w:type="dxa"/>
          </w:tblCellMar>
        </w:tblPrEx>
        <w:trPr>
          <w:trHeight w:val="20" w:hRule="atLeast"/>
        </w:trPr>
        <w:tc>
          <w:tcPr>
            <w:tcW w:w="411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20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24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0" w:hRule="atLeast"/>
        </w:trPr>
        <w:tc>
          <w:tcPr>
            <w:tcW w:w="411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2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2024年9月30日</w:t>
            </w:r>
          </w:p>
        </w:tc>
        <w:tc>
          <w:tcPr>
            <w:tcW w:w="20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2024年6月30日</w:t>
            </w:r>
          </w:p>
        </w:tc>
        <w:tc>
          <w:tcPr>
            <w:tcW w:w="24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2024年3月31日</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可用资本（数额）</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核心一级资本净额</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资本净额</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24,356,328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25,660,053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25,222,021 </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风险加权资产（数额）</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185,165,874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182,073,474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182,544,081 </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资本充足率</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核心一级资本充足率（%）</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一级资本充足率（%）</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资本充足率（%）</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13.15</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14.09</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13.82</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其他各级资本要求</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储备资本要求（%）</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逆周期资本要求（%）</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全球系统重要性银行或国内系统重要性银行附加资本要求（%）</w:t>
            </w:r>
          </w:p>
        </w:tc>
        <w:tc>
          <w:tcPr>
            <w:tcW w:w="2181"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073"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09"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其他各级资本要求（%）（8+9+10）</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满足最低资本要求后的可用核心一级资本净额占风险加权资产的比例（%）</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4.46</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4.37</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4.12</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300,314,887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299,155,231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289,892,585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14a</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流动性覆盖率</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合格优质流动性资产</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21,983,053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27,179,145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28,301,182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现金净流出量</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13,074,040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18,369,519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25,175,238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流动性覆盖率（%）</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168.14</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147.96</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112.42</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净稳定资金比例</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可用稳定资金合计</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196,343,437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192,956,427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188,925,846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所需稳定资金合计</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147,314,572 </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145,651,677 </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145,091,780 </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3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净稳定资金比例（%）</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133.28</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132.48</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130.21</w:t>
            </w:r>
          </w:p>
        </w:tc>
      </w:tr>
      <w:tr>
        <w:tblPrEx>
          <w:tblCellMar>
            <w:top w:w="0" w:type="dxa"/>
            <w:left w:w="108" w:type="dxa"/>
            <w:bottom w:w="0" w:type="dxa"/>
            <w:right w:w="108" w:type="dxa"/>
          </w:tblCellMar>
        </w:tblPrEx>
        <w:trPr>
          <w:trHeight w:val="20" w:hRule="atLeast"/>
        </w:trPr>
        <w:tc>
          <w:tcPr>
            <w:tcW w:w="10773"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流动性比例</w:t>
            </w:r>
          </w:p>
        </w:tc>
      </w:tr>
      <w:tr>
        <w:tblPrEx>
          <w:tblCellMar>
            <w:top w:w="0" w:type="dxa"/>
            <w:left w:w="108" w:type="dxa"/>
            <w:bottom w:w="0" w:type="dxa"/>
            <w:right w:w="108" w:type="dxa"/>
          </w:tblCellMar>
        </w:tblPrEx>
        <w:trPr>
          <w:trHeight w:val="20" w:hRule="atLeast"/>
        </w:trPr>
        <w:tc>
          <w:tcPr>
            <w:tcW w:w="0" w:type="auto"/>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3579"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流动性比例（%）</w:t>
            </w:r>
          </w:p>
        </w:tc>
        <w:tc>
          <w:tcPr>
            <w:tcW w:w="218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78.99</w:t>
            </w:r>
          </w:p>
        </w:tc>
        <w:tc>
          <w:tcPr>
            <w:tcW w:w="2073"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80.05</w:t>
            </w:r>
          </w:p>
        </w:tc>
        <w:tc>
          <w:tcPr>
            <w:tcW w:w="240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67.84</w:t>
            </w:r>
          </w:p>
        </w:tc>
      </w:tr>
    </w:tbl>
    <w:p>
      <w:pPr>
        <w:pStyle w:val="3"/>
        <w:spacing w:before="0" w:after="0" w:line="360" w:lineRule="auto"/>
        <w:rPr>
          <w:rFonts w:asciiTheme="minorEastAsia" w:hAnsiTheme="minorEastAsia" w:eastAsiaTheme="minorEastAsia"/>
          <w:sz w:val="24"/>
          <w:szCs w:val="24"/>
        </w:rPr>
      </w:pPr>
      <w:bookmarkStart w:id="5" w:name="_Toc179827109"/>
      <w:r>
        <w:rPr>
          <w:rFonts w:hint="eastAsia" w:asciiTheme="minorEastAsia" w:hAnsiTheme="minorEastAsia" w:eastAsiaTheme="minorEastAsia"/>
          <w:sz w:val="24"/>
          <w:szCs w:val="24"/>
        </w:rPr>
        <w:t>2.2</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风险加权资产概况</w:t>
      </w:r>
      <w:bookmarkEnd w:id="5"/>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下表列示本公司第一支柱风险加权资产和资本要求。</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表格OV1：风险加权资产概况</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10349" w:type="dxa"/>
        <w:tblInd w:w="-885" w:type="dxa"/>
        <w:tblLayout w:type="autofit"/>
        <w:tblCellMar>
          <w:top w:w="0" w:type="dxa"/>
          <w:left w:w="108" w:type="dxa"/>
          <w:bottom w:w="0" w:type="dxa"/>
          <w:right w:w="108" w:type="dxa"/>
        </w:tblCellMar>
      </w:tblPr>
      <w:tblGrid>
        <w:gridCol w:w="851"/>
        <w:gridCol w:w="3119"/>
        <w:gridCol w:w="2126"/>
        <w:gridCol w:w="2126"/>
        <w:gridCol w:w="2127"/>
      </w:tblGrid>
      <w:tr>
        <w:tblPrEx>
          <w:tblCellMar>
            <w:top w:w="0" w:type="dxa"/>
            <w:left w:w="108" w:type="dxa"/>
            <w:bottom w:w="0" w:type="dxa"/>
            <w:right w:w="108" w:type="dxa"/>
          </w:tblCellMar>
        </w:tblPrEx>
        <w:trPr>
          <w:trHeight w:val="20" w:hRule="atLeast"/>
          <w:tblHeader/>
        </w:trPr>
        <w:tc>
          <w:tcPr>
            <w:tcW w:w="397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0" w:hRule="atLeast"/>
          <w:tblHeader/>
        </w:trPr>
        <w:tc>
          <w:tcPr>
            <w:tcW w:w="3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425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21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最低资本要求</w:t>
            </w:r>
          </w:p>
        </w:tc>
      </w:tr>
      <w:tr>
        <w:tblPrEx>
          <w:tblCellMar>
            <w:top w:w="0" w:type="dxa"/>
            <w:left w:w="108" w:type="dxa"/>
            <w:bottom w:w="0" w:type="dxa"/>
            <w:right w:w="108" w:type="dxa"/>
          </w:tblCellMar>
        </w:tblPrEx>
        <w:trPr>
          <w:trHeight w:val="20" w:hRule="atLeast"/>
          <w:tblHeader/>
        </w:trPr>
        <w:tc>
          <w:tcPr>
            <w:tcW w:w="3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2024年9月30日</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ascii="宋体" w:hAnsi="宋体" w:eastAsia="宋体" w:cs="宋体"/>
                <w:color w:val="000000"/>
                <w:kern w:val="0"/>
                <w:szCs w:val="21"/>
              </w:rPr>
              <w:t>6</w:t>
            </w:r>
            <w:r>
              <w:rPr>
                <w:rFonts w:hint="eastAsia" w:ascii="宋体" w:hAnsi="宋体" w:eastAsia="宋体" w:cs="宋体"/>
                <w:color w:val="000000"/>
                <w:kern w:val="0"/>
                <w:szCs w:val="21"/>
              </w:rPr>
              <w:t>月3</w:t>
            </w:r>
            <w:r>
              <w:rPr>
                <w:rFonts w:ascii="宋体" w:hAnsi="宋体" w:eastAsia="宋体" w:cs="宋体"/>
                <w:color w:val="000000"/>
                <w:kern w:val="0"/>
                <w:szCs w:val="21"/>
              </w:rPr>
              <w:t>0</w:t>
            </w:r>
            <w:r>
              <w:rPr>
                <w:rFonts w:hint="eastAsia" w:ascii="宋体" w:hAnsi="宋体" w:eastAsia="宋体" w:cs="宋体"/>
                <w:color w:val="000000"/>
                <w:kern w:val="0"/>
                <w:szCs w:val="21"/>
              </w:rPr>
              <w:t>日</w:t>
            </w:r>
          </w:p>
        </w:tc>
        <w:tc>
          <w:tcPr>
            <w:tcW w:w="21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ascii="宋体" w:hAnsi="宋体" w:eastAsia="宋体" w:cs="宋体"/>
                <w:color w:val="000000"/>
                <w:kern w:val="0"/>
                <w:szCs w:val="21"/>
              </w:rPr>
              <w:t>9</w:t>
            </w:r>
            <w:r>
              <w:rPr>
                <w:rFonts w:hint="eastAsia" w:ascii="宋体" w:hAnsi="宋体" w:eastAsia="宋体" w:cs="宋体"/>
                <w:color w:val="000000"/>
                <w:kern w:val="0"/>
                <w:szCs w:val="21"/>
              </w:rPr>
              <w:t>月30日</w:t>
            </w:r>
          </w:p>
        </w:tc>
      </w:tr>
      <w:tr>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31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信用风险</w:t>
            </w:r>
          </w:p>
        </w:tc>
        <w:tc>
          <w:tcPr>
            <w:tcW w:w="2126"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176,614,924 </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173,147,418 </w:t>
            </w:r>
          </w:p>
        </w:tc>
        <w:tc>
          <w:tcPr>
            <w:tcW w:w="2127"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14,129,194 </w:t>
            </w:r>
          </w:p>
        </w:tc>
      </w:tr>
      <w:tr>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31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市场风险</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258,890 </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633,996 </w:t>
            </w:r>
          </w:p>
        </w:tc>
        <w:tc>
          <w:tcPr>
            <w:tcW w:w="2127"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20,711 </w:t>
            </w:r>
          </w:p>
        </w:tc>
      </w:tr>
      <w:tr>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31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操作风险</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8,292,060 </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8,292,060 </w:t>
            </w:r>
          </w:p>
        </w:tc>
        <w:tc>
          <w:tcPr>
            <w:tcW w:w="2127"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663,365 </w:t>
            </w:r>
          </w:p>
        </w:tc>
      </w:tr>
      <w:tr>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31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交易账簿和银行账簿间转换的资本要求</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27"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31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合计</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185,165,874 </w:t>
            </w:r>
          </w:p>
        </w:tc>
        <w:tc>
          <w:tcPr>
            <w:tcW w:w="2126"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182,073,474 </w:t>
            </w:r>
          </w:p>
        </w:tc>
        <w:tc>
          <w:tcPr>
            <w:tcW w:w="2127"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14,813,270 </w:t>
            </w:r>
          </w:p>
        </w:tc>
      </w:tr>
    </w:tbl>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4"/>
        </w:rPr>
      </w:pPr>
      <w:bookmarkStart w:id="6" w:name="_Toc179827110"/>
      <w:r>
        <w:rPr>
          <w:rFonts w:asciiTheme="minorEastAsia" w:hAnsiTheme="minorEastAsia"/>
          <w:sz w:val="28"/>
          <w:szCs w:val="24"/>
        </w:rPr>
        <w:t xml:space="preserve">3  </w:t>
      </w:r>
      <w:r>
        <w:rPr>
          <w:rFonts w:hint="eastAsia" w:asciiTheme="minorEastAsia" w:hAnsiTheme="minorEastAsia"/>
          <w:sz w:val="28"/>
          <w:szCs w:val="24"/>
        </w:rPr>
        <w:t>杠杆率</w:t>
      </w:r>
      <w:bookmarkEnd w:id="6"/>
    </w:p>
    <w:p>
      <w:pPr>
        <w:pStyle w:val="3"/>
        <w:spacing w:before="0" w:after="0" w:line="360" w:lineRule="auto"/>
        <w:rPr>
          <w:rFonts w:asciiTheme="minorEastAsia" w:hAnsiTheme="minorEastAsia" w:eastAsiaTheme="minorEastAsia"/>
          <w:sz w:val="24"/>
          <w:szCs w:val="24"/>
        </w:rPr>
      </w:pPr>
      <w:bookmarkStart w:id="7" w:name="_Toc179827111"/>
      <w:r>
        <w:rPr>
          <w:rFonts w:asciiTheme="minorEastAsia" w:hAnsiTheme="minorEastAsia" w:eastAsiaTheme="minorEastAsia"/>
          <w:sz w:val="24"/>
          <w:szCs w:val="24"/>
        </w:rPr>
        <w:t>3</w:t>
      </w:r>
      <w:r>
        <w:rPr>
          <w:rFonts w:hint="eastAsia" w:asciiTheme="minorEastAsia" w:hAnsiTheme="minorEastAsia" w:eastAsiaTheme="minorEastAsia"/>
          <w:sz w:val="24"/>
          <w:szCs w:val="24"/>
        </w:rPr>
        <w:t>.1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杠杆率监管项目与相关会计项目的差异</w:t>
      </w:r>
      <w:bookmarkEnd w:id="7"/>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下表列示本公司资产负债表中的总资产和杠杆率调整后的表内外资产余额的对比关系。</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表格LR1：杠杆率监管项目与相关会计项目的差异</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5984" w:type="pct"/>
        <w:tblInd w:w="-885" w:type="dxa"/>
        <w:tblLayout w:type="autofit"/>
        <w:tblCellMar>
          <w:top w:w="0" w:type="dxa"/>
          <w:left w:w="108" w:type="dxa"/>
          <w:bottom w:w="0" w:type="dxa"/>
          <w:right w:w="108" w:type="dxa"/>
        </w:tblCellMar>
      </w:tblPr>
      <w:tblGrid>
        <w:gridCol w:w="1278"/>
        <w:gridCol w:w="4960"/>
        <w:gridCol w:w="3968"/>
      </w:tblGrid>
      <w:tr>
        <w:tblPrEx>
          <w:tblCellMar>
            <w:top w:w="0" w:type="dxa"/>
            <w:left w:w="108" w:type="dxa"/>
            <w:bottom w:w="0" w:type="dxa"/>
            <w:right w:w="108" w:type="dxa"/>
          </w:tblCellMar>
        </w:tblPrEx>
        <w:trPr>
          <w:trHeight w:val="113" w:hRule="atLeast"/>
          <w:tblHeader/>
        </w:trPr>
        <w:tc>
          <w:tcPr>
            <w:tcW w:w="3056" w:type="pct"/>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4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r>
      <w:tr>
        <w:tblPrEx>
          <w:tblCellMar>
            <w:top w:w="0" w:type="dxa"/>
            <w:left w:w="108" w:type="dxa"/>
            <w:bottom w:w="0" w:type="dxa"/>
            <w:right w:w="108" w:type="dxa"/>
          </w:tblCellMar>
        </w:tblPrEx>
        <w:trPr>
          <w:trHeight w:val="113" w:hRule="atLeast"/>
          <w:tblHeader/>
        </w:trPr>
        <w:tc>
          <w:tcPr>
            <w:tcW w:w="3056"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94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2024年9月30日</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并表总资产</w:t>
            </w:r>
          </w:p>
        </w:tc>
        <w:tc>
          <w:tcPr>
            <w:tcW w:w="194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270,962,071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客户资产调整项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衍生工具调整项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70,146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649,155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28,860,870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资产证券化交易调整项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未结算金融资产调整项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现金池调整项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存款准备金调整项（如有）</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审慎估值和减值准备调整项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其他调整项</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-227,355 </w:t>
            </w:r>
          </w:p>
        </w:tc>
      </w:tr>
      <w:tr>
        <w:tblPrEx>
          <w:tblCellMar>
            <w:top w:w="0" w:type="dxa"/>
            <w:left w:w="108" w:type="dxa"/>
            <w:bottom w:w="0" w:type="dxa"/>
            <w:right w:w="108" w:type="dxa"/>
          </w:tblCellMar>
        </w:tblPrEx>
        <w:trPr>
          <w:trHeight w:val="113" w:hRule="atLeast"/>
        </w:trPr>
        <w:tc>
          <w:tcPr>
            <w:tcW w:w="6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13</w:t>
            </w:r>
          </w:p>
        </w:tc>
        <w:tc>
          <w:tcPr>
            <w:tcW w:w="2430"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调整后表内外资产余额</w:t>
            </w:r>
          </w:p>
        </w:tc>
        <w:tc>
          <w:tcPr>
            <w:tcW w:w="1944" w:type="pct"/>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300,314,887 </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3"/>
        <w:spacing w:before="0" w:after="0" w:line="360" w:lineRule="auto"/>
        <w:rPr>
          <w:rFonts w:asciiTheme="minorEastAsia" w:hAnsiTheme="minorEastAsia" w:eastAsiaTheme="minorEastAsia"/>
          <w:sz w:val="24"/>
          <w:szCs w:val="24"/>
        </w:rPr>
      </w:pPr>
      <w:bookmarkStart w:id="8" w:name="_Toc179827112"/>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2  </w:t>
      </w:r>
      <w:r>
        <w:rPr>
          <w:rFonts w:hint="eastAsia" w:asciiTheme="minorEastAsia" w:hAnsiTheme="minorEastAsia" w:eastAsiaTheme="minorEastAsia"/>
          <w:sz w:val="24"/>
          <w:szCs w:val="24"/>
        </w:rPr>
        <w:t>杠杆率</w:t>
      </w:r>
      <w:bookmarkEnd w:id="8"/>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下表列示本公司杠杆率分母的组成明细以及实际杠杆率、最低杠杆率要求和附加杠杆率要求等相关信息。</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表格LR2：杠杆率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6234" w:type="pct"/>
        <w:tblInd w:w="-1026" w:type="dxa"/>
        <w:tblLayout w:type="autofit"/>
        <w:tblCellMar>
          <w:top w:w="0" w:type="dxa"/>
          <w:left w:w="108" w:type="dxa"/>
          <w:bottom w:w="0" w:type="dxa"/>
          <w:right w:w="108" w:type="dxa"/>
        </w:tblCellMar>
      </w:tblPr>
      <w:tblGrid>
        <w:gridCol w:w="706"/>
        <w:gridCol w:w="4396"/>
        <w:gridCol w:w="2624"/>
        <w:gridCol w:w="2907"/>
      </w:tblGrid>
      <w:tr>
        <w:tblPrEx>
          <w:tblCellMar>
            <w:top w:w="0" w:type="dxa"/>
            <w:left w:w="108" w:type="dxa"/>
            <w:bottom w:w="0" w:type="dxa"/>
            <w:right w:w="108" w:type="dxa"/>
          </w:tblCellMar>
        </w:tblPrEx>
        <w:trPr>
          <w:trHeight w:val="20" w:hRule="atLeast"/>
          <w:tblHeader/>
        </w:trPr>
        <w:tc>
          <w:tcPr>
            <w:tcW w:w="2399"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23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36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r>
      <w:tr>
        <w:tblPrEx>
          <w:tblCellMar>
            <w:top w:w="0" w:type="dxa"/>
            <w:left w:w="108" w:type="dxa"/>
            <w:bottom w:w="0" w:type="dxa"/>
            <w:right w:w="108" w:type="dxa"/>
          </w:tblCellMar>
        </w:tblPrEx>
        <w:trPr>
          <w:trHeight w:val="20" w:hRule="atLeast"/>
          <w:tblHeader/>
        </w:trPr>
        <w:tc>
          <w:tcPr>
            <w:tcW w:w="2399"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23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2024年9月30日</w:t>
            </w:r>
          </w:p>
        </w:tc>
        <w:tc>
          <w:tcPr>
            <w:tcW w:w="1367"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2024年6月30日</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表内资产余额</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表内资产（除衍生工具和证券融资交易外）</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260,381,194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257,726,572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-6,140,328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-6,206,192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减：一级资本扣除项</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-227,355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-273,912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调整后的表内资产余额（衍生工具和证券融资交易除外）</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254,013,511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251,246,468 </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各类衍生工具的重置成本（扣除合格保证金，考虑双边净额结算协议的影响）</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1,467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1,133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各类衍生工具的潜在风险暴露</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68,682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64,845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已从资产负债表中扣除的抵质押品总和</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减：因提供合格保证金形成的应收资产</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减：为客户提供清算服务时与中央交易对手交易形成的衍生工具资产余额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卖出信用衍生工具的名义本金</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减：可扣除的卖出信用衍生工具资产余额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70,149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65,978 </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证券融资交易的会计资产余额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16,721,202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17,783,991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减：可以扣除的证券融资交易资产余额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证券融资交易的交易对手信用风险暴露</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649,155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245,239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代理证券融资交易形成的证券融资交易资产余额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17,370,357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18,029,230 </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表外项目余额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43,544,226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52,333,338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减：因信用转换调整的表外项目余额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-14,488,090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-22,339,415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-195,266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-180,368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调整后的表外项目余额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28,860,870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29,813,555 </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一级资本净额和调整后表内外资产余额</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300,314,887 </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299,155,231 </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24a</w:t>
            </w:r>
          </w:p>
        </w:tc>
        <w:tc>
          <w:tcPr>
            <w:tcW w:w="2067"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r>
      <w:tr>
        <w:tblPrEx>
          <w:tblCellMar>
            <w:top w:w="0" w:type="dxa"/>
            <w:left w:w="108" w:type="dxa"/>
            <w:bottom w:w="0" w:type="dxa"/>
            <w:right w:w="108" w:type="dxa"/>
          </w:tblCellMar>
        </w:tblPrEx>
        <w:trPr>
          <w:trHeight w:val="20" w:hRule="atLeast"/>
        </w:trPr>
        <w:tc>
          <w:tcPr>
            <w:tcW w:w="3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2067"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最低杠杆率要求</w:t>
            </w:r>
          </w:p>
        </w:tc>
        <w:tc>
          <w:tcPr>
            <w:tcW w:w="123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1367"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sectPr>
      <w:footerReference r:id="rId3" w:type="default"/>
      <w:pgSz w:w="11906" w:h="16838"/>
      <w:pgMar w:top="1247"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4141187"/>
      <w:docPartObj>
        <w:docPartGallery w:val="AutoText"/>
      </w:docPartObj>
    </w:sdtPr>
    <w:sdtEndPr>
      <w:rPr>
        <w:rFonts w:asciiTheme="minorEastAsia" w:hAnsiTheme="minorEastAsia"/>
        <w:sz w:val="24"/>
        <w:szCs w:val="24"/>
      </w:rPr>
    </w:sdtEndPr>
    <w:sdtContent>
      <w:p>
        <w:pPr>
          <w:pStyle w:val="6"/>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6</w:t>
        </w:r>
        <w:r>
          <w:rPr>
            <w:rFonts w:asciiTheme="minorEastAsia" w:hAnsiTheme="minorEastAsia"/>
            <w:sz w:val="24"/>
            <w:szCs w:val="24"/>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6AC1"/>
    <w:rsid w:val="00002898"/>
    <w:rsid w:val="00006131"/>
    <w:rsid w:val="0000779D"/>
    <w:rsid w:val="00011695"/>
    <w:rsid w:val="00012313"/>
    <w:rsid w:val="00015208"/>
    <w:rsid w:val="00015863"/>
    <w:rsid w:val="00015A56"/>
    <w:rsid w:val="00022586"/>
    <w:rsid w:val="00023D19"/>
    <w:rsid w:val="00024574"/>
    <w:rsid w:val="00024946"/>
    <w:rsid w:val="0002509A"/>
    <w:rsid w:val="00030DFE"/>
    <w:rsid w:val="00033530"/>
    <w:rsid w:val="000359D8"/>
    <w:rsid w:val="00035C08"/>
    <w:rsid w:val="00036D74"/>
    <w:rsid w:val="00040FC9"/>
    <w:rsid w:val="00041FC8"/>
    <w:rsid w:val="000443FC"/>
    <w:rsid w:val="000449A0"/>
    <w:rsid w:val="0004612B"/>
    <w:rsid w:val="00046240"/>
    <w:rsid w:val="00046ED7"/>
    <w:rsid w:val="000508E7"/>
    <w:rsid w:val="00050C83"/>
    <w:rsid w:val="00051EDF"/>
    <w:rsid w:val="00051FD3"/>
    <w:rsid w:val="0005327B"/>
    <w:rsid w:val="00054373"/>
    <w:rsid w:val="000567B8"/>
    <w:rsid w:val="0005707B"/>
    <w:rsid w:val="0005711A"/>
    <w:rsid w:val="00060938"/>
    <w:rsid w:val="00063F9F"/>
    <w:rsid w:val="00063FAE"/>
    <w:rsid w:val="00065116"/>
    <w:rsid w:val="000707E6"/>
    <w:rsid w:val="000719B9"/>
    <w:rsid w:val="0007255C"/>
    <w:rsid w:val="0007265D"/>
    <w:rsid w:val="0007419D"/>
    <w:rsid w:val="00074EF1"/>
    <w:rsid w:val="00076030"/>
    <w:rsid w:val="00076B4A"/>
    <w:rsid w:val="00077AF6"/>
    <w:rsid w:val="00077D54"/>
    <w:rsid w:val="0008126C"/>
    <w:rsid w:val="00082A7B"/>
    <w:rsid w:val="00082C96"/>
    <w:rsid w:val="00083059"/>
    <w:rsid w:val="00086AC4"/>
    <w:rsid w:val="00090A1A"/>
    <w:rsid w:val="00090F43"/>
    <w:rsid w:val="0009299B"/>
    <w:rsid w:val="00093B8B"/>
    <w:rsid w:val="0009484C"/>
    <w:rsid w:val="000952CD"/>
    <w:rsid w:val="000A05A1"/>
    <w:rsid w:val="000A3D89"/>
    <w:rsid w:val="000A44EF"/>
    <w:rsid w:val="000A5744"/>
    <w:rsid w:val="000B0607"/>
    <w:rsid w:val="000B1038"/>
    <w:rsid w:val="000B26F4"/>
    <w:rsid w:val="000B3677"/>
    <w:rsid w:val="000B37BB"/>
    <w:rsid w:val="000B6FCC"/>
    <w:rsid w:val="000B7007"/>
    <w:rsid w:val="000B7857"/>
    <w:rsid w:val="000C0099"/>
    <w:rsid w:val="000C2F89"/>
    <w:rsid w:val="000C3CC2"/>
    <w:rsid w:val="000C3D14"/>
    <w:rsid w:val="000C568A"/>
    <w:rsid w:val="000C59DE"/>
    <w:rsid w:val="000C6536"/>
    <w:rsid w:val="000C65DB"/>
    <w:rsid w:val="000C6818"/>
    <w:rsid w:val="000C7718"/>
    <w:rsid w:val="000D0D16"/>
    <w:rsid w:val="000D0F91"/>
    <w:rsid w:val="000D33AE"/>
    <w:rsid w:val="000D38E7"/>
    <w:rsid w:val="000D43FB"/>
    <w:rsid w:val="000E18CD"/>
    <w:rsid w:val="000E3D47"/>
    <w:rsid w:val="000E4D1C"/>
    <w:rsid w:val="000E5B3B"/>
    <w:rsid w:val="000E5D09"/>
    <w:rsid w:val="000E779C"/>
    <w:rsid w:val="000F0646"/>
    <w:rsid w:val="000F1486"/>
    <w:rsid w:val="000F5959"/>
    <w:rsid w:val="000F5E93"/>
    <w:rsid w:val="0010253D"/>
    <w:rsid w:val="00104E16"/>
    <w:rsid w:val="00105D3F"/>
    <w:rsid w:val="00107DCA"/>
    <w:rsid w:val="001106CA"/>
    <w:rsid w:val="00110F7E"/>
    <w:rsid w:val="00111872"/>
    <w:rsid w:val="00112D85"/>
    <w:rsid w:val="001138C1"/>
    <w:rsid w:val="00114DCA"/>
    <w:rsid w:val="00116AE8"/>
    <w:rsid w:val="0011793D"/>
    <w:rsid w:val="00120A5B"/>
    <w:rsid w:val="00121EA8"/>
    <w:rsid w:val="001260F3"/>
    <w:rsid w:val="00126B42"/>
    <w:rsid w:val="0013355B"/>
    <w:rsid w:val="001336ED"/>
    <w:rsid w:val="001340A3"/>
    <w:rsid w:val="00134459"/>
    <w:rsid w:val="0013618C"/>
    <w:rsid w:val="00137392"/>
    <w:rsid w:val="001417E4"/>
    <w:rsid w:val="00142834"/>
    <w:rsid w:val="001459DE"/>
    <w:rsid w:val="00145D3D"/>
    <w:rsid w:val="001460A3"/>
    <w:rsid w:val="0014629F"/>
    <w:rsid w:val="001465F9"/>
    <w:rsid w:val="00150C65"/>
    <w:rsid w:val="00150D9A"/>
    <w:rsid w:val="001517C2"/>
    <w:rsid w:val="00151832"/>
    <w:rsid w:val="001539C3"/>
    <w:rsid w:val="0015757A"/>
    <w:rsid w:val="00157747"/>
    <w:rsid w:val="001619CF"/>
    <w:rsid w:val="00162458"/>
    <w:rsid w:val="00162772"/>
    <w:rsid w:val="00164D31"/>
    <w:rsid w:val="001705D1"/>
    <w:rsid w:val="001709C0"/>
    <w:rsid w:val="00170E8A"/>
    <w:rsid w:val="00176945"/>
    <w:rsid w:val="00181680"/>
    <w:rsid w:val="0018348D"/>
    <w:rsid w:val="00183C67"/>
    <w:rsid w:val="00183C8D"/>
    <w:rsid w:val="00186A7D"/>
    <w:rsid w:val="00195667"/>
    <w:rsid w:val="0019650D"/>
    <w:rsid w:val="001A47E3"/>
    <w:rsid w:val="001A4CCD"/>
    <w:rsid w:val="001A5E56"/>
    <w:rsid w:val="001A7486"/>
    <w:rsid w:val="001B1CCB"/>
    <w:rsid w:val="001B2F8B"/>
    <w:rsid w:val="001B3ED9"/>
    <w:rsid w:val="001B3FDB"/>
    <w:rsid w:val="001B4164"/>
    <w:rsid w:val="001B4F17"/>
    <w:rsid w:val="001C0AB6"/>
    <w:rsid w:val="001C2EE2"/>
    <w:rsid w:val="001C43AB"/>
    <w:rsid w:val="001C67DD"/>
    <w:rsid w:val="001D05AB"/>
    <w:rsid w:val="001D0A8F"/>
    <w:rsid w:val="001D135D"/>
    <w:rsid w:val="001D16D3"/>
    <w:rsid w:val="001D2B10"/>
    <w:rsid w:val="001D2C3E"/>
    <w:rsid w:val="001D2EDF"/>
    <w:rsid w:val="001D502E"/>
    <w:rsid w:val="001D569A"/>
    <w:rsid w:val="001D6D8A"/>
    <w:rsid w:val="001D7C02"/>
    <w:rsid w:val="001E111F"/>
    <w:rsid w:val="001E4A20"/>
    <w:rsid w:val="001E4E72"/>
    <w:rsid w:val="001E5128"/>
    <w:rsid w:val="001E5A2A"/>
    <w:rsid w:val="001E5B0E"/>
    <w:rsid w:val="001E5DE1"/>
    <w:rsid w:val="001F19F4"/>
    <w:rsid w:val="001F34CC"/>
    <w:rsid w:val="001F47EE"/>
    <w:rsid w:val="001F5304"/>
    <w:rsid w:val="001F60B5"/>
    <w:rsid w:val="001F640B"/>
    <w:rsid w:val="00200B39"/>
    <w:rsid w:val="002011C9"/>
    <w:rsid w:val="00202C2D"/>
    <w:rsid w:val="002066D1"/>
    <w:rsid w:val="0020743D"/>
    <w:rsid w:val="002075AF"/>
    <w:rsid w:val="00207FB9"/>
    <w:rsid w:val="00210847"/>
    <w:rsid w:val="00210A86"/>
    <w:rsid w:val="00210ADA"/>
    <w:rsid w:val="0021319E"/>
    <w:rsid w:val="00214B95"/>
    <w:rsid w:val="00214D9E"/>
    <w:rsid w:val="0021530F"/>
    <w:rsid w:val="00216FA3"/>
    <w:rsid w:val="00220BC5"/>
    <w:rsid w:val="00221414"/>
    <w:rsid w:val="002222E3"/>
    <w:rsid w:val="0022444E"/>
    <w:rsid w:val="002245A6"/>
    <w:rsid w:val="00224998"/>
    <w:rsid w:val="002257B2"/>
    <w:rsid w:val="00226CB6"/>
    <w:rsid w:val="00227408"/>
    <w:rsid w:val="002315A6"/>
    <w:rsid w:val="0023199D"/>
    <w:rsid w:val="00232585"/>
    <w:rsid w:val="00233AA8"/>
    <w:rsid w:val="00235190"/>
    <w:rsid w:val="00237C86"/>
    <w:rsid w:val="00242A1D"/>
    <w:rsid w:val="00242E10"/>
    <w:rsid w:val="0024380A"/>
    <w:rsid w:val="00245BC0"/>
    <w:rsid w:val="0025041A"/>
    <w:rsid w:val="00252ABC"/>
    <w:rsid w:val="00252FF3"/>
    <w:rsid w:val="00255022"/>
    <w:rsid w:val="002574ED"/>
    <w:rsid w:val="00257BA0"/>
    <w:rsid w:val="00260571"/>
    <w:rsid w:val="0026222C"/>
    <w:rsid w:val="00262C01"/>
    <w:rsid w:val="00262C84"/>
    <w:rsid w:val="00264ED6"/>
    <w:rsid w:val="00266236"/>
    <w:rsid w:val="00266F50"/>
    <w:rsid w:val="0026735F"/>
    <w:rsid w:val="002676EA"/>
    <w:rsid w:val="002712B7"/>
    <w:rsid w:val="00271B20"/>
    <w:rsid w:val="00271B98"/>
    <w:rsid w:val="00272D70"/>
    <w:rsid w:val="0027455F"/>
    <w:rsid w:val="00275CA4"/>
    <w:rsid w:val="00275F26"/>
    <w:rsid w:val="00276E0B"/>
    <w:rsid w:val="00277A5A"/>
    <w:rsid w:val="00277CB3"/>
    <w:rsid w:val="002812DF"/>
    <w:rsid w:val="00282E26"/>
    <w:rsid w:val="00283B9E"/>
    <w:rsid w:val="00284174"/>
    <w:rsid w:val="00284AA7"/>
    <w:rsid w:val="002919AD"/>
    <w:rsid w:val="002931AF"/>
    <w:rsid w:val="00293720"/>
    <w:rsid w:val="002937E8"/>
    <w:rsid w:val="00295A56"/>
    <w:rsid w:val="002960EE"/>
    <w:rsid w:val="002964CA"/>
    <w:rsid w:val="002A0352"/>
    <w:rsid w:val="002A0D30"/>
    <w:rsid w:val="002A644A"/>
    <w:rsid w:val="002A6FF8"/>
    <w:rsid w:val="002B2636"/>
    <w:rsid w:val="002B4A8F"/>
    <w:rsid w:val="002B5EC7"/>
    <w:rsid w:val="002B60BC"/>
    <w:rsid w:val="002B7732"/>
    <w:rsid w:val="002B7B53"/>
    <w:rsid w:val="002C0876"/>
    <w:rsid w:val="002C0CA0"/>
    <w:rsid w:val="002C231E"/>
    <w:rsid w:val="002C4633"/>
    <w:rsid w:val="002C4914"/>
    <w:rsid w:val="002C4F82"/>
    <w:rsid w:val="002C5251"/>
    <w:rsid w:val="002C68B0"/>
    <w:rsid w:val="002C7A7B"/>
    <w:rsid w:val="002D65C1"/>
    <w:rsid w:val="002D719F"/>
    <w:rsid w:val="002D74E6"/>
    <w:rsid w:val="002D7B52"/>
    <w:rsid w:val="002E0216"/>
    <w:rsid w:val="002E11CE"/>
    <w:rsid w:val="002E2440"/>
    <w:rsid w:val="002E3253"/>
    <w:rsid w:val="002E660F"/>
    <w:rsid w:val="002E690E"/>
    <w:rsid w:val="002E740D"/>
    <w:rsid w:val="002F1D8D"/>
    <w:rsid w:val="002F5A70"/>
    <w:rsid w:val="002F6C19"/>
    <w:rsid w:val="002F6E20"/>
    <w:rsid w:val="002F7D49"/>
    <w:rsid w:val="00302AA5"/>
    <w:rsid w:val="00302BA7"/>
    <w:rsid w:val="00302D80"/>
    <w:rsid w:val="00302F04"/>
    <w:rsid w:val="0030436B"/>
    <w:rsid w:val="0030637B"/>
    <w:rsid w:val="00307A85"/>
    <w:rsid w:val="00310BBF"/>
    <w:rsid w:val="00311FBC"/>
    <w:rsid w:val="00313238"/>
    <w:rsid w:val="00315793"/>
    <w:rsid w:val="0031595F"/>
    <w:rsid w:val="003176BF"/>
    <w:rsid w:val="00322587"/>
    <w:rsid w:val="00323078"/>
    <w:rsid w:val="00324965"/>
    <w:rsid w:val="00325C09"/>
    <w:rsid w:val="00326E56"/>
    <w:rsid w:val="00327DD1"/>
    <w:rsid w:val="00330BA2"/>
    <w:rsid w:val="0033256C"/>
    <w:rsid w:val="00333002"/>
    <w:rsid w:val="00334090"/>
    <w:rsid w:val="003346FC"/>
    <w:rsid w:val="00337655"/>
    <w:rsid w:val="00337B6D"/>
    <w:rsid w:val="00337F3C"/>
    <w:rsid w:val="00341C75"/>
    <w:rsid w:val="00342433"/>
    <w:rsid w:val="00344942"/>
    <w:rsid w:val="00344E27"/>
    <w:rsid w:val="00346BC4"/>
    <w:rsid w:val="003510AF"/>
    <w:rsid w:val="003558A8"/>
    <w:rsid w:val="00355BEA"/>
    <w:rsid w:val="00356BEB"/>
    <w:rsid w:val="00357201"/>
    <w:rsid w:val="003626F9"/>
    <w:rsid w:val="00362A27"/>
    <w:rsid w:val="00362FA2"/>
    <w:rsid w:val="003633EA"/>
    <w:rsid w:val="0036392B"/>
    <w:rsid w:val="0036540C"/>
    <w:rsid w:val="00366F42"/>
    <w:rsid w:val="00371B3D"/>
    <w:rsid w:val="00372145"/>
    <w:rsid w:val="00373322"/>
    <w:rsid w:val="003734CD"/>
    <w:rsid w:val="00375086"/>
    <w:rsid w:val="003766F7"/>
    <w:rsid w:val="003773BA"/>
    <w:rsid w:val="00380C94"/>
    <w:rsid w:val="00381A7F"/>
    <w:rsid w:val="00381C41"/>
    <w:rsid w:val="0038335A"/>
    <w:rsid w:val="003834F8"/>
    <w:rsid w:val="003864F7"/>
    <w:rsid w:val="003904A9"/>
    <w:rsid w:val="00390C5A"/>
    <w:rsid w:val="00390DF9"/>
    <w:rsid w:val="0039286D"/>
    <w:rsid w:val="00392D86"/>
    <w:rsid w:val="0039454D"/>
    <w:rsid w:val="00394BE2"/>
    <w:rsid w:val="00394FC0"/>
    <w:rsid w:val="00396377"/>
    <w:rsid w:val="00397E11"/>
    <w:rsid w:val="00397FD1"/>
    <w:rsid w:val="003A05EE"/>
    <w:rsid w:val="003A07B5"/>
    <w:rsid w:val="003A2985"/>
    <w:rsid w:val="003A6A5F"/>
    <w:rsid w:val="003A6A9E"/>
    <w:rsid w:val="003A6B13"/>
    <w:rsid w:val="003A6BBB"/>
    <w:rsid w:val="003A6BFC"/>
    <w:rsid w:val="003B3E6E"/>
    <w:rsid w:val="003B5E3D"/>
    <w:rsid w:val="003B6613"/>
    <w:rsid w:val="003B7FFE"/>
    <w:rsid w:val="003C0509"/>
    <w:rsid w:val="003C72DB"/>
    <w:rsid w:val="003D0D2B"/>
    <w:rsid w:val="003D117C"/>
    <w:rsid w:val="003D2D49"/>
    <w:rsid w:val="003D472D"/>
    <w:rsid w:val="003D657F"/>
    <w:rsid w:val="003D7D7D"/>
    <w:rsid w:val="003E319F"/>
    <w:rsid w:val="003E37CE"/>
    <w:rsid w:val="003E3E1D"/>
    <w:rsid w:val="003E606C"/>
    <w:rsid w:val="003F1C94"/>
    <w:rsid w:val="003F2E84"/>
    <w:rsid w:val="003F5874"/>
    <w:rsid w:val="0040261E"/>
    <w:rsid w:val="00404286"/>
    <w:rsid w:val="00407114"/>
    <w:rsid w:val="00410750"/>
    <w:rsid w:val="00411E20"/>
    <w:rsid w:val="00415131"/>
    <w:rsid w:val="00415201"/>
    <w:rsid w:val="004166AE"/>
    <w:rsid w:val="00417CC3"/>
    <w:rsid w:val="004204A5"/>
    <w:rsid w:val="00421191"/>
    <w:rsid w:val="00421783"/>
    <w:rsid w:val="00422BA1"/>
    <w:rsid w:val="00422E5A"/>
    <w:rsid w:val="00424FF0"/>
    <w:rsid w:val="0042501B"/>
    <w:rsid w:val="00425CF6"/>
    <w:rsid w:val="004328FE"/>
    <w:rsid w:val="00432BD1"/>
    <w:rsid w:val="0043307B"/>
    <w:rsid w:val="0043589D"/>
    <w:rsid w:val="00435DEC"/>
    <w:rsid w:val="004365E0"/>
    <w:rsid w:val="00436C67"/>
    <w:rsid w:val="0044048F"/>
    <w:rsid w:val="00442209"/>
    <w:rsid w:val="0044253B"/>
    <w:rsid w:val="004425D3"/>
    <w:rsid w:val="00444472"/>
    <w:rsid w:val="004448A4"/>
    <w:rsid w:val="00447ED6"/>
    <w:rsid w:val="0045283E"/>
    <w:rsid w:val="00453F52"/>
    <w:rsid w:val="004559BA"/>
    <w:rsid w:val="00456EFE"/>
    <w:rsid w:val="0045702E"/>
    <w:rsid w:val="00457E4C"/>
    <w:rsid w:val="00460725"/>
    <w:rsid w:val="0046184F"/>
    <w:rsid w:val="004627AB"/>
    <w:rsid w:val="00462950"/>
    <w:rsid w:val="00462E94"/>
    <w:rsid w:val="00464B58"/>
    <w:rsid w:val="00465105"/>
    <w:rsid w:val="00465D09"/>
    <w:rsid w:val="004665C6"/>
    <w:rsid w:val="0047136C"/>
    <w:rsid w:val="00472B9A"/>
    <w:rsid w:val="0047354A"/>
    <w:rsid w:val="00474AA2"/>
    <w:rsid w:val="00474CDC"/>
    <w:rsid w:val="00475D30"/>
    <w:rsid w:val="004819A7"/>
    <w:rsid w:val="00485759"/>
    <w:rsid w:val="00485CF7"/>
    <w:rsid w:val="00487353"/>
    <w:rsid w:val="004876DC"/>
    <w:rsid w:val="00490F8B"/>
    <w:rsid w:val="004910FF"/>
    <w:rsid w:val="004926BD"/>
    <w:rsid w:val="0049293A"/>
    <w:rsid w:val="0049393C"/>
    <w:rsid w:val="00494EC1"/>
    <w:rsid w:val="00496523"/>
    <w:rsid w:val="004A02FC"/>
    <w:rsid w:val="004A0948"/>
    <w:rsid w:val="004A2809"/>
    <w:rsid w:val="004A3BE2"/>
    <w:rsid w:val="004A6721"/>
    <w:rsid w:val="004A69AF"/>
    <w:rsid w:val="004A6F46"/>
    <w:rsid w:val="004A71BF"/>
    <w:rsid w:val="004B1638"/>
    <w:rsid w:val="004B1F28"/>
    <w:rsid w:val="004B3164"/>
    <w:rsid w:val="004B69F4"/>
    <w:rsid w:val="004C1823"/>
    <w:rsid w:val="004C3959"/>
    <w:rsid w:val="004C49CF"/>
    <w:rsid w:val="004C6745"/>
    <w:rsid w:val="004C7DCA"/>
    <w:rsid w:val="004D150B"/>
    <w:rsid w:val="004D18E1"/>
    <w:rsid w:val="004D1BB7"/>
    <w:rsid w:val="004D313F"/>
    <w:rsid w:val="004D43C2"/>
    <w:rsid w:val="004D4788"/>
    <w:rsid w:val="004D7434"/>
    <w:rsid w:val="004E2170"/>
    <w:rsid w:val="004E26BD"/>
    <w:rsid w:val="004E3C35"/>
    <w:rsid w:val="004E53CE"/>
    <w:rsid w:val="004E5579"/>
    <w:rsid w:val="004E61BE"/>
    <w:rsid w:val="004E6928"/>
    <w:rsid w:val="004E6B7D"/>
    <w:rsid w:val="004F3E50"/>
    <w:rsid w:val="004F54AD"/>
    <w:rsid w:val="004F673C"/>
    <w:rsid w:val="00501AE9"/>
    <w:rsid w:val="005038CE"/>
    <w:rsid w:val="00504E0D"/>
    <w:rsid w:val="005102DB"/>
    <w:rsid w:val="00513045"/>
    <w:rsid w:val="00513E4B"/>
    <w:rsid w:val="00514D1C"/>
    <w:rsid w:val="005153A4"/>
    <w:rsid w:val="00516B97"/>
    <w:rsid w:val="00523DDC"/>
    <w:rsid w:val="00525B6F"/>
    <w:rsid w:val="005272AE"/>
    <w:rsid w:val="00530B19"/>
    <w:rsid w:val="00530C85"/>
    <w:rsid w:val="005316D0"/>
    <w:rsid w:val="0053287D"/>
    <w:rsid w:val="00532962"/>
    <w:rsid w:val="00535057"/>
    <w:rsid w:val="0053651B"/>
    <w:rsid w:val="0054001D"/>
    <w:rsid w:val="00540566"/>
    <w:rsid w:val="00545715"/>
    <w:rsid w:val="00546857"/>
    <w:rsid w:val="005512B0"/>
    <w:rsid w:val="00552EFD"/>
    <w:rsid w:val="005531BC"/>
    <w:rsid w:val="00557343"/>
    <w:rsid w:val="005619FB"/>
    <w:rsid w:val="00561F7C"/>
    <w:rsid w:val="005630E2"/>
    <w:rsid w:val="00570BFC"/>
    <w:rsid w:val="00572CCA"/>
    <w:rsid w:val="00574CFA"/>
    <w:rsid w:val="005750A3"/>
    <w:rsid w:val="005769A3"/>
    <w:rsid w:val="005774AF"/>
    <w:rsid w:val="0059129C"/>
    <w:rsid w:val="005927B9"/>
    <w:rsid w:val="00595117"/>
    <w:rsid w:val="005A0286"/>
    <w:rsid w:val="005A10D2"/>
    <w:rsid w:val="005A1161"/>
    <w:rsid w:val="005A25B4"/>
    <w:rsid w:val="005A4C2B"/>
    <w:rsid w:val="005B0229"/>
    <w:rsid w:val="005B06AA"/>
    <w:rsid w:val="005B2573"/>
    <w:rsid w:val="005B30AD"/>
    <w:rsid w:val="005B33C9"/>
    <w:rsid w:val="005B5EE0"/>
    <w:rsid w:val="005B7DA8"/>
    <w:rsid w:val="005C0D48"/>
    <w:rsid w:val="005C1C5D"/>
    <w:rsid w:val="005C2003"/>
    <w:rsid w:val="005C42CB"/>
    <w:rsid w:val="005C7703"/>
    <w:rsid w:val="005D3CF9"/>
    <w:rsid w:val="005D3DF6"/>
    <w:rsid w:val="005D4DA5"/>
    <w:rsid w:val="005D6809"/>
    <w:rsid w:val="005E452C"/>
    <w:rsid w:val="005F50DF"/>
    <w:rsid w:val="005F61FB"/>
    <w:rsid w:val="005F7CF6"/>
    <w:rsid w:val="005F7DC7"/>
    <w:rsid w:val="0060232C"/>
    <w:rsid w:val="006029FA"/>
    <w:rsid w:val="006043F5"/>
    <w:rsid w:val="00610C96"/>
    <w:rsid w:val="0061113C"/>
    <w:rsid w:val="006114A3"/>
    <w:rsid w:val="006119BA"/>
    <w:rsid w:val="00611CBE"/>
    <w:rsid w:val="00614817"/>
    <w:rsid w:val="006154A6"/>
    <w:rsid w:val="0062018A"/>
    <w:rsid w:val="00625B55"/>
    <w:rsid w:val="0063066B"/>
    <w:rsid w:val="00631398"/>
    <w:rsid w:val="00634E4C"/>
    <w:rsid w:val="00637657"/>
    <w:rsid w:val="00637FAC"/>
    <w:rsid w:val="00641A72"/>
    <w:rsid w:val="00641B66"/>
    <w:rsid w:val="00643A17"/>
    <w:rsid w:val="00643A6D"/>
    <w:rsid w:val="006444C7"/>
    <w:rsid w:val="00644B61"/>
    <w:rsid w:val="00644D3D"/>
    <w:rsid w:val="00646074"/>
    <w:rsid w:val="00650A6B"/>
    <w:rsid w:val="00652D85"/>
    <w:rsid w:val="00654B5B"/>
    <w:rsid w:val="00656047"/>
    <w:rsid w:val="00660F11"/>
    <w:rsid w:val="00661CB5"/>
    <w:rsid w:val="00664779"/>
    <w:rsid w:val="00666524"/>
    <w:rsid w:val="00667AA4"/>
    <w:rsid w:val="00667CA4"/>
    <w:rsid w:val="00671EB8"/>
    <w:rsid w:val="006720FD"/>
    <w:rsid w:val="0067306C"/>
    <w:rsid w:val="006739CA"/>
    <w:rsid w:val="00674110"/>
    <w:rsid w:val="00675E48"/>
    <w:rsid w:val="00676F66"/>
    <w:rsid w:val="00677ECC"/>
    <w:rsid w:val="00683A52"/>
    <w:rsid w:val="00684215"/>
    <w:rsid w:val="0068589F"/>
    <w:rsid w:val="00694B59"/>
    <w:rsid w:val="006975A9"/>
    <w:rsid w:val="006A2665"/>
    <w:rsid w:val="006A3394"/>
    <w:rsid w:val="006A42DF"/>
    <w:rsid w:val="006A508D"/>
    <w:rsid w:val="006A56DB"/>
    <w:rsid w:val="006A57F0"/>
    <w:rsid w:val="006A6461"/>
    <w:rsid w:val="006B0E95"/>
    <w:rsid w:val="006B2ED0"/>
    <w:rsid w:val="006B37A3"/>
    <w:rsid w:val="006B5797"/>
    <w:rsid w:val="006B6322"/>
    <w:rsid w:val="006B7068"/>
    <w:rsid w:val="006B70DB"/>
    <w:rsid w:val="006C0211"/>
    <w:rsid w:val="006C0905"/>
    <w:rsid w:val="006C1922"/>
    <w:rsid w:val="006C38CE"/>
    <w:rsid w:val="006C4620"/>
    <w:rsid w:val="006C4B70"/>
    <w:rsid w:val="006C4E45"/>
    <w:rsid w:val="006C743F"/>
    <w:rsid w:val="006C7870"/>
    <w:rsid w:val="006C7B1B"/>
    <w:rsid w:val="006D3705"/>
    <w:rsid w:val="006D3798"/>
    <w:rsid w:val="006D4821"/>
    <w:rsid w:val="006D4968"/>
    <w:rsid w:val="006D54CC"/>
    <w:rsid w:val="006E1ACD"/>
    <w:rsid w:val="006E2D7D"/>
    <w:rsid w:val="006E3F10"/>
    <w:rsid w:val="006E48C5"/>
    <w:rsid w:val="006E4A17"/>
    <w:rsid w:val="006F3212"/>
    <w:rsid w:val="006F3781"/>
    <w:rsid w:val="006F4A89"/>
    <w:rsid w:val="006F532D"/>
    <w:rsid w:val="006F6E5A"/>
    <w:rsid w:val="00704613"/>
    <w:rsid w:val="00704DBE"/>
    <w:rsid w:val="00705CAF"/>
    <w:rsid w:val="007079AD"/>
    <w:rsid w:val="00712180"/>
    <w:rsid w:val="00715F49"/>
    <w:rsid w:val="00716F6F"/>
    <w:rsid w:val="007202AD"/>
    <w:rsid w:val="0072342B"/>
    <w:rsid w:val="007260F1"/>
    <w:rsid w:val="00726174"/>
    <w:rsid w:val="00731E24"/>
    <w:rsid w:val="00733B15"/>
    <w:rsid w:val="00733B94"/>
    <w:rsid w:val="00734E19"/>
    <w:rsid w:val="007370F5"/>
    <w:rsid w:val="00740587"/>
    <w:rsid w:val="00742145"/>
    <w:rsid w:val="0074335C"/>
    <w:rsid w:val="007457A8"/>
    <w:rsid w:val="00745E31"/>
    <w:rsid w:val="00745ED5"/>
    <w:rsid w:val="007468E6"/>
    <w:rsid w:val="00747EC6"/>
    <w:rsid w:val="00750181"/>
    <w:rsid w:val="00752B40"/>
    <w:rsid w:val="00752FE4"/>
    <w:rsid w:val="00753682"/>
    <w:rsid w:val="0075776C"/>
    <w:rsid w:val="007610A0"/>
    <w:rsid w:val="00761F2E"/>
    <w:rsid w:val="0076215A"/>
    <w:rsid w:val="007639D0"/>
    <w:rsid w:val="00763E5F"/>
    <w:rsid w:val="0076495F"/>
    <w:rsid w:val="0076591C"/>
    <w:rsid w:val="00765F34"/>
    <w:rsid w:val="007667E3"/>
    <w:rsid w:val="0076699F"/>
    <w:rsid w:val="0077025E"/>
    <w:rsid w:val="0077044D"/>
    <w:rsid w:val="00770774"/>
    <w:rsid w:val="00772840"/>
    <w:rsid w:val="00774EB0"/>
    <w:rsid w:val="00776D00"/>
    <w:rsid w:val="00780355"/>
    <w:rsid w:val="0078106A"/>
    <w:rsid w:val="00782398"/>
    <w:rsid w:val="007823DA"/>
    <w:rsid w:val="00783869"/>
    <w:rsid w:val="00787DF4"/>
    <w:rsid w:val="00791B3F"/>
    <w:rsid w:val="00791DCE"/>
    <w:rsid w:val="00792FD9"/>
    <w:rsid w:val="0079648A"/>
    <w:rsid w:val="0079717E"/>
    <w:rsid w:val="007A11DC"/>
    <w:rsid w:val="007A1230"/>
    <w:rsid w:val="007A161A"/>
    <w:rsid w:val="007A3482"/>
    <w:rsid w:val="007A4AD2"/>
    <w:rsid w:val="007A6144"/>
    <w:rsid w:val="007A6782"/>
    <w:rsid w:val="007A6FAE"/>
    <w:rsid w:val="007A724F"/>
    <w:rsid w:val="007A7667"/>
    <w:rsid w:val="007B0832"/>
    <w:rsid w:val="007B386A"/>
    <w:rsid w:val="007B475D"/>
    <w:rsid w:val="007B5426"/>
    <w:rsid w:val="007B5734"/>
    <w:rsid w:val="007B5FEB"/>
    <w:rsid w:val="007C01E6"/>
    <w:rsid w:val="007C026D"/>
    <w:rsid w:val="007C0328"/>
    <w:rsid w:val="007C0837"/>
    <w:rsid w:val="007C147C"/>
    <w:rsid w:val="007C424E"/>
    <w:rsid w:val="007C7180"/>
    <w:rsid w:val="007D051C"/>
    <w:rsid w:val="007E0464"/>
    <w:rsid w:val="007E4FAE"/>
    <w:rsid w:val="007E5065"/>
    <w:rsid w:val="007E6024"/>
    <w:rsid w:val="007E6E06"/>
    <w:rsid w:val="007F3BCB"/>
    <w:rsid w:val="007F74D7"/>
    <w:rsid w:val="008008E4"/>
    <w:rsid w:val="0080168B"/>
    <w:rsid w:val="008033DB"/>
    <w:rsid w:val="00807177"/>
    <w:rsid w:val="0081033C"/>
    <w:rsid w:val="008124C5"/>
    <w:rsid w:val="008136E3"/>
    <w:rsid w:val="00815322"/>
    <w:rsid w:val="00821130"/>
    <w:rsid w:val="0082752D"/>
    <w:rsid w:val="0082789D"/>
    <w:rsid w:val="00830DE2"/>
    <w:rsid w:val="0083159E"/>
    <w:rsid w:val="008315D8"/>
    <w:rsid w:val="00832152"/>
    <w:rsid w:val="00834243"/>
    <w:rsid w:val="00836780"/>
    <w:rsid w:val="008378EC"/>
    <w:rsid w:val="00840209"/>
    <w:rsid w:val="00840CDE"/>
    <w:rsid w:val="008418EF"/>
    <w:rsid w:val="00841A33"/>
    <w:rsid w:val="00843FBE"/>
    <w:rsid w:val="008448F7"/>
    <w:rsid w:val="008466D9"/>
    <w:rsid w:val="00846836"/>
    <w:rsid w:val="00847F38"/>
    <w:rsid w:val="008523F9"/>
    <w:rsid w:val="00852A1B"/>
    <w:rsid w:val="00860EDE"/>
    <w:rsid w:val="00861068"/>
    <w:rsid w:val="00862FCF"/>
    <w:rsid w:val="00865F90"/>
    <w:rsid w:val="00866CA1"/>
    <w:rsid w:val="008676EC"/>
    <w:rsid w:val="00867C8A"/>
    <w:rsid w:val="008721C7"/>
    <w:rsid w:val="00872393"/>
    <w:rsid w:val="00873717"/>
    <w:rsid w:val="00873B63"/>
    <w:rsid w:val="00874532"/>
    <w:rsid w:val="00875428"/>
    <w:rsid w:val="008760A6"/>
    <w:rsid w:val="00876785"/>
    <w:rsid w:val="008779DF"/>
    <w:rsid w:val="00877F5C"/>
    <w:rsid w:val="008810B4"/>
    <w:rsid w:val="008811E7"/>
    <w:rsid w:val="00881C27"/>
    <w:rsid w:val="00882BB2"/>
    <w:rsid w:val="00883831"/>
    <w:rsid w:val="00885336"/>
    <w:rsid w:val="00885B94"/>
    <w:rsid w:val="008863E7"/>
    <w:rsid w:val="00893F39"/>
    <w:rsid w:val="00895271"/>
    <w:rsid w:val="008957D3"/>
    <w:rsid w:val="00895DF1"/>
    <w:rsid w:val="00896E75"/>
    <w:rsid w:val="008970B6"/>
    <w:rsid w:val="008970DA"/>
    <w:rsid w:val="00897BE4"/>
    <w:rsid w:val="008A066B"/>
    <w:rsid w:val="008A149E"/>
    <w:rsid w:val="008A2709"/>
    <w:rsid w:val="008A49A8"/>
    <w:rsid w:val="008A4BE3"/>
    <w:rsid w:val="008A4E8E"/>
    <w:rsid w:val="008A5CD0"/>
    <w:rsid w:val="008A69D2"/>
    <w:rsid w:val="008B0491"/>
    <w:rsid w:val="008B07A1"/>
    <w:rsid w:val="008B2DA3"/>
    <w:rsid w:val="008B34FE"/>
    <w:rsid w:val="008B3573"/>
    <w:rsid w:val="008B47B1"/>
    <w:rsid w:val="008B70EF"/>
    <w:rsid w:val="008C0012"/>
    <w:rsid w:val="008C0A45"/>
    <w:rsid w:val="008C0DC0"/>
    <w:rsid w:val="008C1B87"/>
    <w:rsid w:val="008C1F50"/>
    <w:rsid w:val="008C2C90"/>
    <w:rsid w:val="008C58B7"/>
    <w:rsid w:val="008D4FBA"/>
    <w:rsid w:val="008D52C6"/>
    <w:rsid w:val="008D56A8"/>
    <w:rsid w:val="008D7598"/>
    <w:rsid w:val="008D78D5"/>
    <w:rsid w:val="008E10C8"/>
    <w:rsid w:val="008E1DDB"/>
    <w:rsid w:val="008E288E"/>
    <w:rsid w:val="008F0004"/>
    <w:rsid w:val="008F25FC"/>
    <w:rsid w:val="008F2F4F"/>
    <w:rsid w:val="008F3F62"/>
    <w:rsid w:val="008F497D"/>
    <w:rsid w:val="008F706D"/>
    <w:rsid w:val="008F7241"/>
    <w:rsid w:val="008F7807"/>
    <w:rsid w:val="00900D3A"/>
    <w:rsid w:val="009011C8"/>
    <w:rsid w:val="009024A3"/>
    <w:rsid w:val="00903508"/>
    <w:rsid w:val="009046A9"/>
    <w:rsid w:val="009050E6"/>
    <w:rsid w:val="00905914"/>
    <w:rsid w:val="00906037"/>
    <w:rsid w:val="009066B3"/>
    <w:rsid w:val="0091130A"/>
    <w:rsid w:val="00915EB9"/>
    <w:rsid w:val="00916A6A"/>
    <w:rsid w:val="00917CEE"/>
    <w:rsid w:val="00921258"/>
    <w:rsid w:val="00923797"/>
    <w:rsid w:val="00924633"/>
    <w:rsid w:val="00925C2F"/>
    <w:rsid w:val="00926A26"/>
    <w:rsid w:val="00930AFF"/>
    <w:rsid w:val="00930F9A"/>
    <w:rsid w:val="00931956"/>
    <w:rsid w:val="00933882"/>
    <w:rsid w:val="0093491E"/>
    <w:rsid w:val="00935726"/>
    <w:rsid w:val="00936AC1"/>
    <w:rsid w:val="00936E0B"/>
    <w:rsid w:val="0094339A"/>
    <w:rsid w:val="00943FDC"/>
    <w:rsid w:val="0094400C"/>
    <w:rsid w:val="00944751"/>
    <w:rsid w:val="00945E06"/>
    <w:rsid w:val="00951070"/>
    <w:rsid w:val="009511CF"/>
    <w:rsid w:val="00951264"/>
    <w:rsid w:val="00951B28"/>
    <w:rsid w:val="00954579"/>
    <w:rsid w:val="009557F8"/>
    <w:rsid w:val="00955CEA"/>
    <w:rsid w:val="00955D5B"/>
    <w:rsid w:val="00956E03"/>
    <w:rsid w:val="00957679"/>
    <w:rsid w:val="009604DA"/>
    <w:rsid w:val="009622F0"/>
    <w:rsid w:val="0096657A"/>
    <w:rsid w:val="00967874"/>
    <w:rsid w:val="00970CC4"/>
    <w:rsid w:val="00972948"/>
    <w:rsid w:val="00972E79"/>
    <w:rsid w:val="0097770C"/>
    <w:rsid w:val="009806A8"/>
    <w:rsid w:val="00983FCA"/>
    <w:rsid w:val="00990AF7"/>
    <w:rsid w:val="00991CB5"/>
    <w:rsid w:val="00993AD9"/>
    <w:rsid w:val="0099630E"/>
    <w:rsid w:val="009A25AF"/>
    <w:rsid w:val="009A63C5"/>
    <w:rsid w:val="009A7DB2"/>
    <w:rsid w:val="009B12ED"/>
    <w:rsid w:val="009B18EA"/>
    <w:rsid w:val="009B41A8"/>
    <w:rsid w:val="009B5347"/>
    <w:rsid w:val="009B5DF5"/>
    <w:rsid w:val="009C296A"/>
    <w:rsid w:val="009C4A43"/>
    <w:rsid w:val="009C4FA7"/>
    <w:rsid w:val="009C7639"/>
    <w:rsid w:val="009D043A"/>
    <w:rsid w:val="009D1416"/>
    <w:rsid w:val="009D14CD"/>
    <w:rsid w:val="009D373D"/>
    <w:rsid w:val="009D45B4"/>
    <w:rsid w:val="009D4A56"/>
    <w:rsid w:val="009E155A"/>
    <w:rsid w:val="009E4207"/>
    <w:rsid w:val="009E7C27"/>
    <w:rsid w:val="009F0A24"/>
    <w:rsid w:val="009F48DB"/>
    <w:rsid w:val="00A00E44"/>
    <w:rsid w:val="00A01204"/>
    <w:rsid w:val="00A03785"/>
    <w:rsid w:val="00A049CA"/>
    <w:rsid w:val="00A04B10"/>
    <w:rsid w:val="00A05E14"/>
    <w:rsid w:val="00A113B2"/>
    <w:rsid w:val="00A11448"/>
    <w:rsid w:val="00A12B50"/>
    <w:rsid w:val="00A14F93"/>
    <w:rsid w:val="00A15AAC"/>
    <w:rsid w:val="00A17425"/>
    <w:rsid w:val="00A17665"/>
    <w:rsid w:val="00A2033A"/>
    <w:rsid w:val="00A20D97"/>
    <w:rsid w:val="00A20FE6"/>
    <w:rsid w:val="00A236F3"/>
    <w:rsid w:val="00A25FC7"/>
    <w:rsid w:val="00A26230"/>
    <w:rsid w:val="00A26CE2"/>
    <w:rsid w:val="00A27A0E"/>
    <w:rsid w:val="00A3061A"/>
    <w:rsid w:val="00A3352C"/>
    <w:rsid w:val="00A33E36"/>
    <w:rsid w:val="00A34FF4"/>
    <w:rsid w:val="00A36332"/>
    <w:rsid w:val="00A36957"/>
    <w:rsid w:val="00A37642"/>
    <w:rsid w:val="00A379AA"/>
    <w:rsid w:val="00A41112"/>
    <w:rsid w:val="00A411C2"/>
    <w:rsid w:val="00A425F3"/>
    <w:rsid w:val="00A43F8C"/>
    <w:rsid w:val="00A54855"/>
    <w:rsid w:val="00A562C9"/>
    <w:rsid w:val="00A5694B"/>
    <w:rsid w:val="00A5782C"/>
    <w:rsid w:val="00A60551"/>
    <w:rsid w:val="00A60CD5"/>
    <w:rsid w:val="00A61256"/>
    <w:rsid w:val="00A626DD"/>
    <w:rsid w:val="00A63C6E"/>
    <w:rsid w:val="00A63CE0"/>
    <w:rsid w:val="00A6563D"/>
    <w:rsid w:val="00A6571D"/>
    <w:rsid w:val="00A665F6"/>
    <w:rsid w:val="00A67431"/>
    <w:rsid w:val="00A67619"/>
    <w:rsid w:val="00A71287"/>
    <w:rsid w:val="00A71D4A"/>
    <w:rsid w:val="00A725AF"/>
    <w:rsid w:val="00A732B9"/>
    <w:rsid w:val="00A73942"/>
    <w:rsid w:val="00A7412A"/>
    <w:rsid w:val="00A75039"/>
    <w:rsid w:val="00A750F8"/>
    <w:rsid w:val="00A75BD5"/>
    <w:rsid w:val="00A75DC1"/>
    <w:rsid w:val="00A76EBD"/>
    <w:rsid w:val="00A77496"/>
    <w:rsid w:val="00A80173"/>
    <w:rsid w:val="00A80A04"/>
    <w:rsid w:val="00A80B68"/>
    <w:rsid w:val="00A8405F"/>
    <w:rsid w:val="00A85545"/>
    <w:rsid w:val="00A856A7"/>
    <w:rsid w:val="00A87222"/>
    <w:rsid w:val="00A87B83"/>
    <w:rsid w:val="00A95BBB"/>
    <w:rsid w:val="00A960E1"/>
    <w:rsid w:val="00A9638E"/>
    <w:rsid w:val="00A96EDC"/>
    <w:rsid w:val="00A97661"/>
    <w:rsid w:val="00AA0E83"/>
    <w:rsid w:val="00AA2003"/>
    <w:rsid w:val="00AA3B41"/>
    <w:rsid w:val="00AA4E8F"/>
    <w:rsid w:val="00AB012D"/>
    <w:rsid w:val="00AB1509"/>
    <w:rsid w:val="00AB191F"/>
    <w:rsid w:val="00AB1E06"/>
    <w:rsid w:val="00AB28E6"/>
    <w:rsid w:val="00AB3E23"/>
    <w:rsid w:val="00AB3EFE"/>
    <w:rsid w:val="00AB43F9"/>
    <w:rsid w:val="00AB7219"/>
    <w:rsid w:val="00AB746B"/>
    <w:rsid w:val="00AB79DF"/>
    <w:rsid w:val="00AB7F07"/>
    <w:rsid w:val="00AC0046"/>
    <w:rsid w:val="00AC17BD"/>
    <w:rsid w:val="00AC454B"/>
    <w:rsid w:val="00AC5A3B"/>
    <w:rsid w:val="00AC6F27"/>
    <w:rsid w:val="00AD4C2C"/>
    <w:rsid w:val="00AD5E7C"/>
    <w:rsid w:val="00AE0848"/>
    <w:rsid w:val="00AE087A"/>
    <w:rsid w:val="00AE14D0"/>
    <w:rsid w:val="00AE3BE3"/>
    <w:rsid w:val="00AE4233"/>
    <w:rsid w:val="00AE5306"/>
    <w:rsid w:val="00AE7C67"/>
    <w:rsid w:val="00AF2454"/>
    <w:rsid w:val="00AF72D9"/>
    <w:rsid w:val="00B00528"/>
    <w:rsid w:val="00B01221"/>
    <w:rsid w:val="00B01FDE"/>
    <w:rsid w:val="00B02977"/>
    <w:rsid w:val="00B04988"/>
    <w:rsid w:val="00B06220"/>
    <w:rsid w:val="00B06732"/>
    <w:rsid w:val="00B0734E"/>
    <w:rsid w:val="00B10A80"/>
    <w:rsid w:val="00B11820"/>
    <w:rsid w:val="00B118CE"/>
    <w:rsid w:val="00B1338A"/>
    <w:rsid w:val="00B13D42"/>
    <w:rsid w:val="00B15177"/>
    <w:rsid w:val="00B15A63"/>
    <w:rsid w:val="00B164D8"/>
    <w:rsid w:val="00B16566"/>
    <w:rsid w:val="00B1667C"/>
    <w:rsid w:val="00B2190E"/>
    <w:rsid w:val="00B21ECA"/>
    <w:rsid w:val="00B21F43"/>
    <w:rsid w:val="00B24CB3"/>
    <w:rsid w:val="00B279B2"/>
    <w:rsid w:val="00B31D39"/>
    <w:rsid w:val="00B33422"/>
    <w:rsid w:val="00B34E5E"/>
    <w:rsid w:val="00B355CD"/>
    <w:rsid w:val="00B358CF"/>
    <w:rsid w:val="00B35B38"/>
    <w:rsid w:val="00B36129"/>
    <w:rsid w:val="00B36C12"/>
    <w:rsid w:val="00B413F5"/>
    <w:rsid w:val="00B42314"/>
    <w:rsid w:val="00B42582"/>
    <w:rsid w:val="00B43BD5"/>
    <w:rsid w:val="00B446A8"/>
    <w:rsid w:val="00B47463"/>
    <w:rsid w:val="00B521C3"/>
    <w:rsid w:val="00B5396F"/>
    <w:rsid w:val="00B54088"/>
    <w:rsid w:val="00B55383"/>
    <w:rsid w:val="00B615A3"/>
    <w:rsid w:val="00B63B24"/>
    <w:rsid w:val="00B64294"/>
    <w:rsid w:val="00B64535"/>
    <w:rsid w:val="00B654A4"/>
    <w:rsid w:val="00B65501"/>
    <w:rsid w:val="00B656EB"/>
    <w:rsid w:val="00B66A5F"/>
    <w:rsid w:val="00B72124"/>
    <w:rsid w:val="00B737D8"/>
    <w:rsid w:val="00B7385B"/>
    <w:rsid w:val="00B7450B"/>
    <w:rsid w:val="00B75ADC"/>
    <w:rsid w:val="00B764F9"/>
    <w:rsid w:val="00B774C8"/>
    <w:rsid w:val="00B822D5"/>
    <w:rsid w:val="00B83D20"/>
    <w:rsid w:val="00B85DE1"/>
    <w:rsid w:val="00B865B5"/>
    <w:rsid w:val="00B868F5"/>
    <w:rsid w:val="00B92293"/>
    <w:rsid w:val="00B938B5"/>
    <w:rsid w:val="00B93B6F"/>
    <w:rsid w:val="00B94ACF"/>
    <w:rsid w:val="00B95E69"/>
    <w:rsid w:val="00B97601"/>
    <w:rsid w:val="00B977D0"/>
    <w:rsid w:val="00B97AA6"/>
    <w:rsid w:val="00BA125A"/>
    <w:rsid w:val="00BA2AE0"/>
    <w:rsid w:val="00BA40F9"/>
    <w:rsid w:val="00BA43D0"/>
    <w:rsid w:val="00BA6F2D"/>
    <w:rsid w:val="00BA74C7"/>
    <w:rsid w:val="00BB0024"/>
    <w:rsid w:val="00BB0D9F"/>
    <w:rsid w:val="00BB16C1"/>
    <w:rsid w:val="00BB3A44"/>
    <w:rsid w:val="00BB75CE"/>
    <w:rsid w:val="00BB770F"/>
    <w:rsid w:val="00BC32CC"/>
    <w:rsid w:val="00BC52DD"/>
    <w:rsid w:val="00BC64FA"/>
    <w:rsid w:val="00BD0693"/>
    <w:rsid w:val="00BD0BED"/>
    <w:rsid w:val="00BD3050"/>
    <w:rsid w:val="00BD3C05"/>
    <w:rsid w:val="00BE07D0"/>
    <w:rsid w:val="00BE0BDE"/>
    <w:rsid w:val="00BE32D6"/>
    <w:rsid w:val="00BE3A42"/>
    <w:rsid w:val="00BE58B2"/>
    <w:rsid w:val="00BE5D52"/>
    <w:rsid w:val="00BE5EE9"/>
    <w:rsid w:val="00BE7796"/>
    <w:rsid w:val="00BF0616"/>
    <w:rsid w:val="00BF1754"/>
    <w:rsid w:val="00BF1BB9"/>
    <w:rsid w:val="00BF23F0"/>
    <w:rsid w:val="00BF4210"/>
    <w:rsid w:val="00C035DB"/>
    <w:rsid w:val="00C044F0"/>
    <w:rsid w:val="00C04A3E"/>
    <w:rsid w:val="00C0611F"/>
    <w:rsid w:val="00C07164"/>
    <w:rsid w:val="00C071EA"/>
    <w:rsid w:val="00C14062"/>
    <w:rsid w:val="00C14225"/>
    <w:rsid w:val="00C14C97"/>
    <w:rsid w:val="00C1591C"/>
    <w:rsid w:val="00C175CF"/>
    <w:rsid w:val="00C17955"/>
    <w:rsid w:val="00C20B3B"/>
    <w:rsid w:val="00C22ED7"/>
    <w:rsid w:val="00C25E26"/>
    <w:rsid w:val="00C263D9"/>
    <w:rsid w:val="00C269B8"/>
    <w:rsid w:val="00C33C98"/>
    <w:rsid w:val="00C33F0B"/>
    <w:rsid w:val="00C360DA"/>
    <w:rsid w:val="00C3799C"/>
    <w:rsid w:val="00C42197"/>
    <w:rsid w:val="00C44E1E"/>
    <w:rsid w:val="00C45D2E"/>
    <w:rsid w:val="00C46183"/>
    <w:rsid w:val="00C463DD"/>
    <w:rsid w:val="00C4697A"/>
    <w:rsid w:val="00C471A3"/>
    <w:rsid w:val="00C4771D"/>
    <w:rsid w:val="00C47A65"/>
    <w:rsid w:val="00C54797"/>
    <w:rsid w:val="00C55B14"/>
    <w:rsid w:val="00C56BE2"/>
    <w:rsid w:val="00C5733F"/>
    <w:rsid w:val="00C61006"/>
    <w:rsid w:val="00C61D26"/>
    <w:rsid w:val="00C62176"/>
    <w:rsid w:val="00C6337F"/>
    <w:rsid w:val="00C6429C"/>
    <w:rsid w:val="00C65A6F"/>
    <w:rsid w:val="00C65C41"/>
    <w:rsid w:val="00C6675A"/>
    <w:rsid w:val="00C7039C"/>
    <w:rsid w:val="00C73476"/>
    <w:rsid w:val="00C739F9"/>
    <w:rsid w:val="00C7469E"/>
    <w:rsid w:val="00C74BA4"/>
    <w:rsid w:val="00C7529D"/>
    <w:rsid w:val="00C76143"/>
    <w:rsid w:val="00C76A50"/>
    <w:rsid w:val="00C777D0"/>
    <w:rsid w:val="00C81868"/>
    <w:rsid w:val="00C83EC1"/>
    <w:rsid w:val="00C852FD"/>
    <w:rsid w:val="00C85C2D"/>
    <w:rsid w:val="00C86106"/>
    <w:rsid w:val="00C87495"/>
    <w:rsid w:val="00C90E39"/>
    <w:rsid w:val="00C91E86"/>
    <w:rsid w:val="00C92FB9"/>
    <w:rsid w:val="00C9486D"/>
    <w:rsid w:val="00CA1B15"/>
    <w:rsid w:val="00CA23CC"/>
    <w:rsid w:val="00CA5BC1"/>
    <w:rsid w:val="00CA61DE"/>
    <w:rsid w:val="00CA6F39"/>
    <w:rsid w:val="00CB0028"/>
    <w:rsid w:val="00CB0966"/>
    <w:rsid w:val="00CB24A8"/>
    <w:rsid w:val="00CB3407"/>
    <w:rsid w:val="00CB341A"/>
    <w:rsid w:val="00CB3BE4"/>
    <w:rsid w:val="00CB64A0"/>
    <w:rsid w:val="00CC25E6"/>
    <w:rsid w:val="00CC2747"/>
    <w:rsid w:val="00CC3BCD"/>
    <w:rsid w:val="00CC3EAA"/>
    <w:rsid w:val="00CC57AB"/>
    <w:rsid w:val="00CC67ED"/>
    <w:rsid w:val="00CD0A50"/>
    <w:rsid w:val="00CD1A5C"/>
    <w:rsid w:val="00CD1DBB"/>
    <w:rsid w:val="00CD2E15"/>
    <w:rsid w:val="00CD2FD9"/>
    <w:rsid w:val="00CD65A2"/>
    <w:rsid w:val="00CE12FC"/>
    <w:rsid w:val="00CF2919"/>
    <w:rsid w:val="00D001A0"/>
    <w:rsid w:val="00D01898"/>
    <w:rsid w:val="00D02164"/>
    <w:rsid w:val="00D021E6"/>
    <w:rsid w:val="00D02B2B"/>
    <w:rsid w:val="00D0530D"/>
    <w:rsid w:val="00D068F6"/>
    <w:rsid w:val="00D12297"/>
    <w:rsid w:val="00D13502"/>
    <w:rsid w:val="00D13CA7"/>
    <w:rsid w:val="00D152C8"/>
    <w:rsid w:val="00D152E5"/>
    <w:rsid w:val="00D15995"/>
    <w:rsid w:val="00D15C8F"/>
    <w:rsid w:val="00D17373"/>
    <w:rsid w:val="00D17778"/>
    <w:rsid w:val="00D21781"/>
    <w:rsid w:val="00D22690"/>
    <w:rsid w:val="00D22928"/>
    <w:rsid w:val="00D232B1"/>
    <w:rsid w:val="00D243E1"/>
    <w:rsid w:val="00D2526B"/>
    <w:rsid w:val="00D25BC2"/>
    <w:rsid w:val="00D307F2"/>
    <w:rsid w:val="00D30E43"/>
    <w:rsid w:val="00D3131D"/>
    <w:rsid w:val="00D32066"/>
    <w:rsid w:val="00D341CF"/>
    <w:rsid w:val="00D34AA1"/>
    <w:rsid w:val="00D35063"/>
    <w:rsid w:val="00D37544"/>
    <w:rsid w:val="00D37C4A"/>
    <w:rsid w:val="00D407FE"/>
    <w:rsid w:val="00D4158C"/>
    <w:rsid w:val="00D41E31"/>
    <w:rsid w:val="00D42AAC"/>
    <w:rsid w:val="00D42B26"/>
    <w:rsid w:val="00D44EFA"/>
    <w:rsid w:val="00D46B04"/>
    <w:rsid w:val="00D46F0B"/>
    <w:rsid w:val="00D47A8B"/>
    <w:rsid w:val="00D47C73"/>
    <w:rsid w:val="00D51B32"/>
    <w:rsid w:val="00D5270A"/>
    <w:rsid w:val="00D52D6A"/>
    <w:rsid w:val="00D550A7"/>
    <w:rsid w:val="00D60DE7"/>
    <w:rsid w:val="00D60E82"/>
    <w:rsid w:val="00D61D2B"/>
    <w:rsid w:val="00D64A15"/>
    <w:rsid w:val="00D6553B"/>
    <w:rsid w:val="00D665B1"/>
    <w:rsid w:val="00D673BC"/>
    <w:rsid w:val="00D67998"/>
    <w:rsid w:val="00D7122D"/>
    <w:rsid w:val="00D717B5"/>
    <w:rsid w:val="00D71C25"/>
    <w:rsid w:val="00D73277"/>
    <w:rsid w:val="00D73401"/>
    <w:rsid w:val="00D739C5"/>
    <w:rsid w:val="00D74461"/>
    <w:rsid w:val="00D75AFC"/>
    <w:rsid w:val="00D76102"/>
    <w:rsid w:val="00D76EBD"/>
    <w:rsid w:val="00D76F9F"/>
    <w:rsid w:val="00D812D1"/>
    <w:rsid w:val="00D81A31"/>
    <w:rsid w:val="00D81E30"/>
    <w:rsid w:val="00D81E88"/>
    <w:rsid w:val="00D82644"/>
    <w:rsid w:val="00D83023"/>
    <w:rsid w:val="00D8332A"/>
    <w:rsid w:val="00D85890"/>
    <w:rsid w:val="00D86C74"/>
    <w:rsid w:val="00D86EFF"/>
    <w:rsid w:val="00D9013C"/>
    <w:rsid w:val="00D91BBC"/>
    <w:rsid w:val="00D93996"/>
    <w:rsid w:val="00D94461"/>
    <w:rsid w:val="00D94DD0"/>
    <w:rsid w:val="00DA0224"/>
    <w:rsid w:val="00DA05A0"/>
    <w:rsid w:val="00DA4246"/>
    <w:rsid w:val="00DA5C99"/>
    <w:rsid w:val="00DA61E1"/>
    <w:rsid w:val="00DA6A85"/>
    <w:rsid w:val="00DA6E2F"/>
    <w:rsid w:val="00DA7A9A"/>
    <w:rsid w:val="00DB0117"/>
    <w:rsid w:val="00DB0712"/>
    <w:rsid w:val="00DB0F02"/>
    <w:rsid w:val="00DB276A"/>
    <w:rsid w:val="00DB5F4C"/>
    <w:rsid w:val="00DC04C7"/>
    <w:rsid w:val="00DC0861"/>
    <w:rsid w:val="00DC1A89"/>
    <w:rsid w:val="00DC1AE4"/>
    <w:rsid w:val="00DC2BF1"/>
    <w:rsid w:val="00DC3E88"/>
    <w:rsid w:val="00DC4C8E"/>
    <w:rsid w:val="00DC4FB8"/>
    <w:rsid w:val="00DC7766"/>
    <w:rsid w:val="00DD0645"/>
    <w:rsid w:val="00DD198A"/>
    <w:rsid w:val="00DD2B3F"/>
    <w:rsid w:val="00DD6DD0"/>
    <w:rsid w:val="00DE4340"/>
    <w:rsid w:val="00DE535C"/>
    <w:rsid w:val="00DF0FE9"/>
    <w:rsid w:val="00DF1C42"/>
    <w:rsid w:val="00DF3427"/>
    <w:rsid w:val="00DF4461"/>
    <w:rsid w:val="00DF7CDD"/>
    <w:rsid w:val="00E01776"/>
    <w:rsid w:val="00E02174"/>
    <w:rsid w:val="00E021A7"/>
    <w:rsid w:val="00E034C9"/>
    <w:rsid w:val="00E04859"/>
    <w:rsid w:val="00E05AF0"/>
    <w:rsid w:val="00E05FE4"/>
    <w:rsid w:val="00E067D2"/>
    <w:rsid w:val="00E07C4A"/>
    <w:rsid w:val="00E10AC5"/>
    <w:rsid w:val="00E147E8"/>
    <w:rsid w:val="00E15331"/>
    <w:rsid w:val="00E16044"/>
    <w:rsid w:val="00E16958"/>
    <w:rsid w:val="00E20997"/>
    <w:rsid w:val="00E259E3"/>
    <w:rsid w:val="00E27172"/>
    <w:rsid w:val="00E3209E"/>
    <w:rsid w:val="00E33208"/>
    <w:rsid w:val="00E3575D"/>
    <w:rsid w:val="00E35B8F"/>
    <w:rsid w:val="00E36787"/>
    <w:rsid w:val="00E419AE"/>
    <w:rsid w:val="00E41F90"/>
    <w:rsid w:val="00E425FB"/>
    <w:rsid w:val="00E45827"/>
    <w:rsid w:val="00E47578"/>
    <w:rsid w:val="00E505AD"/>
    <w:rsid w:val="00E5302C"/>
    <w:rsid w:val="00E539AD"/>
    <w:rsid w:val="00E53B81"/>
    <w:rsid w:val="00E56D4C"/>
    <w:rsid w:val="00E62BB8"/>
    <w:rsid w:val="00E63061"/>
    <w:rsid w:val="00E64CC1"/>
    <w:rsid w:val="00E70518"/>
    <w:rsid w:val="00E7566A"/>
    <w:rsid w:val="00E76322"/>
    <w:rsid w:val="00E77860"/>
    <w:rsid w:val="00E806FB"/>
    <w:rsid w:val="00E836FE"/>
    <w:rsid w:val="00E8472A"/>
    <w:rsid w:val="00E8498C"/>
    <w:rsid w:val="00E906D2"/>
    <w:rsid w:val="00E91602"/>
    <w:rsid w:val="00E924F4"/>
    <w:rsid w:val="00E92679"/>
    <w:rsid w:val="00E927DA"/>
    <w:rsid w:val="00E927DD"/>
    <w:rsid w:val="00E928B3"/>
    <w:rsid w:val="00E92B9B"/>
    <w:rsid w:val="00E92E7E"/>
    <w:rsid w:val="00E975A0"/>
    <w:rsid w:val="00E97756"/>
    <w:rsid w:val="00EA06F6"/>
    <w:rsid w:val="00EA082C"/>
    <w:rsid w:val="00EA095D"/>
    <w:rsid w:val="00EA1BE3"/>
    <w:rsid w:val="00EA4475"/>
    <w:rsid w:val="00EA4AF1"/>
    <w:rsid w:val="00EA639B"/>
    <w:rsid w:val="00EA715E"/>
    <w:rsid w:val="00EB079F"/>
    <w:rsid w:val="00EB1980"/>
    <w:rsid w:val="00EB394A"/>
    <w:rsid w:val="00EB692F"/>
    <w:rsid w:val="00EB765D"/>
    <w:rsid w:val="00EB7B6B"/>
    <w:rsid w:val="00EB7E18"/>
    <w:rsid w:val="00EC1664"/>
    <w:rsid w:val="00EC3E58"/>
    <w:rsid w:val="00EC46AB"/>
    <w:rsid w:val="00ED115B"/>
    <w:rsid w:val="00ED1D1C"/>
    <w:rsid w:val="00ED3E43"/>
    <w:rsid w:val="00ED53B2"/>
    <w:rsid w:val="00ED5CAB"/>
    <w:rsid w:val="00ED5DBF"/>
    <w:rsid w:val="00EE39F8"/>
    <w:rsid w:val="00EE6734"/>
    <w:rsid w:val="00EE75D8"/>
    <w:rsid w:val="00EE7F12"/>
    <w:rsid w:val="00EF2305"/>
    <w:rsid w:val="00EF2ABC"/>
    <w:rsid w:val="00EF4648"/>
    <w:rsid w:val="00EF6B41"/>
    <w:rsid w:val="00EF75C3"/>
    <w:rsid w:val="00F00399"/>
    <w:rsid w:val="00F00633"/>
    <w:rsid w:val="00F00E53"/>
    <w:rsid w:val="00F00F33"/>
    <w:rsid w:val="00F02A56"/>
    <w:rsid w:val="00F07F87"/>
    <w:rsid w:val="00F15F3A"/>
    <w:rsid w:val="00F17E7F"/>
    <w:rsid w:val="00F218BD"/>
    <w:rsid w:val="00F22EE5"/>
    <w:rsid w:val="00F232E4"/>
    <w:rsid w:val="00F23C98"/>
    <w:rsid w:val="00F27108"/>
    <w:rsid w:val="00F271B2"/>
    <w:rsid w:val="00F27840"/>
    <w:rsid w:val="00F325E7"/>
    <w:rsid w:val="00F3698E"/>
    <w:rsid w:val="00F41E48"/>
    <w:rsid w:val="00F42EEE"/>
    <w:rsid w:val="00F469B3"/>
    <w:rsid w:val="00F4766B"/>
    <w:rsid w:val="00F50307"/>
    <w:rsid w:val="00F51EC3"/>
    <w:rsid w:val="00F52A86"/>
    <w:rsid w:val="00F53606"/>
    <w:rsid w:val="00F53960"/>
    <w:rsid w:val="00F54143"/>
    <w:rsid w:val="00F5480D"/>
    <w:rsid w:val="00F54BC7"/>
    <w:rsid w:val="00F55C2B"/>
    <w:rsid w:val="00F5694C"/>
    <w:rsid w:val="00F56FC7"/>
    <w:rsid w:val="00F62245"/>
    <w:rsid w:val="00F633E1"/>
    <w:rsid w:val="00F660A8"/>
    <w:rsid w:val="00F67BF1"/>
    <w:rsid w:val="00F67ED1"/>
    <w:rsid w:val="00F70668"/>
    <w:rsid w:val="00F733E7"/>
    <w:rsid w:val="00F73A3D"/>
    <w:rsid w:val="00F755DB"/>
    <w:rsid w:val="00F76073"/>
    <w:rsid w:val="00F76D7A"/>
    <w:rsid w:val="00F80D25"/>
    <w:rsid w:val="00F82D78"/>
    <w:rsid w:val="00F8483A"/>
    <w:rsid w:val="00F854C8"/>
    <w:rsid w:val="00F8558B"/>
    <w:rsid w:val="00F90DEE"/>
    <w:rsid w:val="00F91B07"/>
    <w:rsid w:val="00F91B8D"/>
    <w:rsid w:val="00F92AE9"/>
    <w:rsid w:val="00F93277"/>
    <w:rsid w:val="00F93B40"/>
    <w:rsid w:val="00F94454"/>
    <w:rsid w:val="00F94DF4"/>
    <w:rsid w:val="00F96081"/>
    <w:rsid w:val="00F9682C"/>
    <w:rsid w:val="00F9789C"/>
    <w:rsid w:val="00F97D55"/>
    <w:rsid w:val="00F97F66"/>
    <w:rsid w:val="00FA18DA"/>
    <w:rsid w:val="00FA2F0E"/>
    <w:rsid w:val="00FA40B1"/>
    <w:rsid w:val="00FA4B41"/>
    <w:rsid w:val="00FA74BE"/>
    <w:rsid w:val="00FB10B9"/>
    <w:rsid w:val="00FB17D5"/>
    <w:rsid w:val="00FB1B67"/>
    <w:rsid w:val="00FB694A"/>
    <w:rsid w:val="00FB70AA"/>
    <w:rsid w:val="00FC05D2"/>
    <w:rsid w:val="00FC1272"/>
    <w:rsid w:val="00FC3B41"/>
    <w:rsid w:val="00FC5BE6"/>
    <w:rsid w:val="00FC619A"/>
    <w:rsid w:val="00FC6232"/>
    <w:rsid w:val="00FC73FA"/>
    <w:rsid w:val="00FD0062"/>
    <w:rsid w:val="00FD0CB9"/>
    <w:rsid w:val="00FD5A80"/>
    <w:rsid w:val="00FE404C"/>
    <w:rsid w:val="00FE454B"/>
    <w:rsid w:val="00FE7679"/>
    <w:rsid w:val="00FE7F54"/>
    <w:rsid w:val="00FE7FF7"/>
    <w:rsid w:val="00FF0893"/>
    <w:rsid w:val="00FF72B5"/>
    <w:rsid w:val="03D43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after="100" w:line="276" w:lineRule="auto"/>
      <w:ind w:left="440"/>
      <w:jc w:val="left"/>
    </w:pPr>
    <w:rPr>
      <w:kern w:val="0"/>
      <w:sz w:val="22"/>
    </w:r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widowControl/>
      <w:tabs>
        <w:tab w:val="right" w:leader="dot" w:pos="8296"/>
      </w:tabs>
      <w:spacing w:after="100" w:line="360" w:lineRule="auto"/>
      <w:jc w:val="left"/>
    </w:pPr>
    <w:rPr>
      <w:rFonts w:asciiTheme="minorEastAsia" w:hAnsiTheme="minorEastAsia"/>
      <w:b/>
      <w:kern w:val="0"/>
      <w:sz w:val="24"/>
      <w:szCs w:val="24"/>
    </w:rPr>
  </w:style>
  <w:style w:type="paragraph" w:styleId="9">
    <w:name w:val="footnote text"/>
    <w:basedOn w:val="1"/>
    <w:link w:val="21"/>
    <w:semiHidden/>
    <w:unhideWhenUsed/>
    <w:qFormat/>
    <w:uiPriority w:val="99"/>
    <w:pPr>
      <w:snapToGrid w:val="0"/>
      <w:jc w:val="left"/>
    </w:pPr>
    <w:rPr>
      <w:sz w:val="18"/>
      <w:szCs w:val="18"/>
    </w:rPr>
  </w:style>
  <w:style w:type="paragraph" w:styleId="10">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qFormat/>
    <w:uiPriority w:val="99"/>
    <w:rPr>
      <w:color w:val="0563C1" w:themeColor="hyperlink"/>
      <w:u w:val="single"/>
    </w:rPr>
  </w:style>
  <w:style w:type="character" w:styleId="14">
    <w:name w:val="footnote reference"/>
    <w:basedOn w:val="12"/>
    <w:semiHidden/>
    <w:unhideWhenUsed/>
    <w:qFormat/>
    <w:uiPriority w:val="99"/>
    <w:rPr>
      <w:vertAlign w:val="superscript"/>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character" w:customStyle="1" w:styleId="17">
    <w:name w:val="标题 1 Char"/>
    <w:basedOn w:val="12"/>
    <w:link w:val="2"/>
    <w:qFormat/>
    <w:uiPriority w:val="9"/>
    <w:rPr>
      <w:b/>
      <w:bCs/>
      <w:kern w:val="44"/>
      <w:sz w:val="44"/>
      <w:szCs w:val="44"/>
    </w:rPr>
  </w:style>
  <w:style w:type="paragraph" w:customStyle="1" w:styleId="18">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19">
    <w:name w:val="标题 2 Char"/>
    <w:basedOn w:val="12"/>
    <w:link w:val="3"/>
    <w:qFormat/>
    <w:uiPriority w:val="9"/>
    <w:rPr>
      <w:rFonts w:asciiTheme="majorHAnsi" w:hAnsiTheme="majorHAnsi" w:eastAsiaTheme="majorEastAsia" w:cstheme="majorBidi"/>
      <w:b/>
      <w:bCs/>
      <w:sz w:val="32"/>
      <w:szCs w:val="32"/>
    </w:rPr>
  </w:style>
  <w:style w:type="character" w:customStyle="1" w:styleId="20">
    <w:name w:val="批注框文本 Char"/>
    <w:basedOn w:val="12"/>
    <w:link w:val="5"/>
    <w:semiHidden/>
    <w:qFormat/>
    <w:uiPriority w:val="99"/>
    <w:rPr>
      <w:sz w:val="18"/>
      <w:szCs w:val="18"/>
    </w:rPr>
  </w:style>
  <w:style w:type="character" w:customStyle="1" w:styleId="21">
    <w:name w:val="脚注文本 Char"/>
    <w:basedOn w:val="12"/>
    <w:link w:val="9"/>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05B72-EBB8-405A-AE2A-4544F1D7CAB7}">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738</Words>
  <Characters>4212</Characters>
  <Lines>35</Lines>
  <Paragraphs>9</Paragraphs>
  <TotalTime>181</TotalTime>
  <ScaleCrop>false</ScaleCrop>
  <LinksUpToDate>false</LinksUpToDate>
  <CharactersWithSpaces>4941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2024-08-05T08:32:00Z</dcterms:created>
  <dc:creator>刘雯</dc:creator>
  <cp:lastModifiedBy>葛伶燕</cp:lastModifiedBy>
  <cp:lastPrinted>2024-10-28T10:43:00Z</cp:lastPrinted>
  <dcterms:modified xsi:type="dcterms:W3CDTF">2024-10-29T07:38:53Z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51BF47E86B2643279FA79827806C0D21</vt:lpwstr>
  </property>
</Properties>
</file>