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Theme="minorHAnsi" w:hAnsiTheme="minorHAnsi" w:eastAsiaTheme="minorEastAsia" w:cstheme="minorBidi"/>
          <w:b w:val="0"/>
          <w:bCs w:val="0"/>
          <w:color w:val="auto"/>
          <w:kern w:val="2"/>
          <w:sz w:val="21"/>
          <w:szCs w:val="22"/>
          <w:lang w:val="zh-CN"/>
        </w:rPr>
        <w:id w:val="591283940"/>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zh-CN"/>
        </w:rPr>
      </w:sdtEndPr>
      <w:sdtContent>
        <w:p>
          <w:pPr>
            <w:pStyle w:val="18"/>
            <w:spacing w:line="360" w:lineRule="auto"/>
            <w:jc w:val="center"/>
            <w:rPr>
              <w:color w:val="auto"/>
              <w:sz w:val="36"/>
              <w:szCs w:val="32"/>
            </w:rPr>
          </w:pPr>
          <w:r>
            <w:rPr>
              <w:color w:val="auto"/>
              <w:sz w:val="36"/>
              <w:szCs w:val="32"/>
              <w:lang w:val="zh-CN"/>
            </w:rPr>
            <w:t>目录</w:t>
          </w:r>
        </w:p>
        <w:p>
          <w:pPr>
            <w:pStyle w:val="8"/>
            <w:rPr>
              <w:rFonts w:asciiTheme="minorHAnsi" w:hAnsiTheme="minorHAnsi"/>
              <w:b w:val="0"/>
              <w:kern w:val="2"/>
              <w:sz w:val="21"/>
              <w:szCs w:val="22"/>
            </w:rPr>
          </w:pPr>
          <w:r>
            <w:fldChar w:fldCharType="begin"/>
          </w:r>
          <w:r>
            <w:instrText xml:space="preserve"> TOC \o "1-3" \h \z \u </w:instrText>
          </w:r>
          <w:r>
            <w:fldChar w:fldCharType="separate"/>
          </w:r>
          <w:r>
            <w:fldChar w:fldCharType="begin"/>
          </w:r>
          <w:r>
            <w:instrText xml:space="preserve"> HYPERLINK \l "_Toc194311170" </w:instrText>
          </w:r>
          <w:r>
            <w:fldChar w:fldCharType="separate"/>
          </w:r>
          <w:r>
            <w:rPr>
              <w:rStyle w:val="13"/>
            </w:rPr>
            <w:t xml:space="preserve">1  </w:t>
          </w:r>
          <w:r>
            <w:rPr>
              <w:rStyle w:val="13"/>
              <w:rFonts w:hint="eastAsia"/>
            </w:rPr>
            <w:t>引言</w:t>
          </w:r>
          <w:r>
            <w:tab/>
          </w:r>
          <w:r>
            <w:fldChar w:fldCharType="begin"/>
          </w:r>
          <w:r>
            <w:instrText xml:space="preserve"> PAGEREF _Toc194311170 \h </w:instrText>
          </w:r>
          <w:r>
            <w:fldChar w:fldCharType="separate"/>
          </w:r>
          <w:r>
            <w:t>1</w:t>
          </w:r>
          <w:r>
            <w:fldChar w:fldCharType="end"/>
          </w:r>
          <w:r>
            <w:fldChar w:fldCharType="end"/>
          </w:r>
        </w:p>
        <w:p>
          <w:pPr>
            <w:pStyle w:val="10"/>
            <w:tabs>
              <w:tab w:val="right" w:leader="dot" w:pos="8302"/>
            </w:tabs>
            <w:rPr>
              <w:kern w:val="2"/>
              <w:sz w:val="21"/>
            </w:rPr>
          </w:pPr>
          <w:r>
            <w:fldChar w:fldCharType="begin"/>
          </w:r>
          <w:r>
            <w:instrText xml:space="preserve"> HYPERLINK \l "_Toc194311171" </w:instrText>
          </w:r>
          <w:r>
            <w:fldChar w:fldCharType="separate"/>
          </w:r>
          <w:r>
            <w:rPr>
              <w:rStyle w:val="13"/>
              <w:rFonts w:asciiTheme="minorEastAsia" w:hAnsiTheme="minorEastAsia"/>
            </w:rPr>
            <w:t xml:space="preserve">1.1  </w:t>
          </w:r>
          <w:r>
            <w:rPr>
              <w:rStyle w:val="13"/>
              <w:rFonts w:hint="eastAsia" w:asciiTheme="minorEastAsia" w:hAnsiTheme="minorEastAsia"/>
            </w:rPr>
            <w:t>披露依据</w:t>
          </w:r>
          <w:r>
            <w:tab/>
          </w:r>
          <w:r>
            <w:fldChar w:fldCharType="begin"/>
          </w:r>
          <w:r>
            <w:instrText xml:space="preserve"> PAGEREF _Toc194311171 \h </w:instrText>
          </w:r>
          <w:r>
            <w:fldChar w:fldCharType="separate"/>
          </w:r>
          <w:r>
            <w:t>1</w:t>
          </w:r>
          <w:r>
            <w:fldChar w:fldCharType="end"/>
          </w:r>
          <w:r>
            <w:fldChar w:fldCharType="end"/>
          </w:r>
        </w:p>
        <w:p>
          <w:pPr>
            <w:pStyle w:val="10"/>
            <w:tabs>
              <w:tab w:val="right" w:leader="dot" w:pos="8302"/>
            </w:tabs>
            <w:rPr>
              <w:kern w:val="2"/>
              <w:sz w:val="21"/>
            </w:rPr>
          </w:pPr>
          <w:r>
            <w:fldChar w:fldCharType="begin"/>
          </w:r>
          <w:r>
            <w:instrText xml:space="preserve"> HYPERLINK \l "_Toc194311172" </w:instrText>
          </w:r>
          <w:r>
            <w:fldChar w:fldCharType="separate"/>
          </w:r>
          <w:r>
            <w:rPr>
              <w:rStyle w:val="13"/>
              <w:rFonts w:asciiTheme="minorEastAsia" w:hAnsiTheme="minorEastAsia"/>
            </w:rPr>
            <w:t xml:space="preserve">1.2  </w:t>
          </w:r>
          <w:r>
            <w:rPr>
              <w:rStyle w:val="13"/>
              <w:rFonts w:hint="eastAsia" w:asciiTheme="minorEastAsia" w:hAnsiTheme="minorEastAsia"/>
            </w:rPr>
            <w:t>披露声明</w:t>
          </w:r>
          <w:r>
            <w:tab/>
          </w:r>
          <w:r>
            <w:fldChar w:fldCharType="begin"/>
          </w:r>
          <w:r>
            <w:instrText xml:space="preserve"> PAGEREF _Toc194311172 \h </w:instrText>
          </w:r>
          <w:r>
            <w:fldChar w:fldCharType="separate"/>
          </w:r>
          <w:r>
            <w:t>1</w:t>
          </w:r>
          <w:r>
            <w:fldChar w:fldCharType="end"/>
          </w:r>
          <w:r>
            <w:fldChar w:fldCharType="end"/>
          </w:r>
        </w:p>
        <w:p>
          <w:pPr>
            <w:pStyle w:val="8"/>
            <w:rPr>
              <w:rFonts w:asciiTheme="minorHAnsi" w:hAnsiTheme="minorHAnsi"/>
              <w:b w:val="0"/>
              <w:kern w:val="2"/>
              <w:sz w:val="21"/>
              <w:szCs w:val="22"/>
            </w:rPr>
          </w:pPr>
          <w:r>
            <w:fldChar w:fldCharType="begin"/>
          </w:r>
          <w:r>
            <w:instrText xml:space="preserve"> HYPERLINK \l "_Toc194311173" </w:instrText>
          </w:r>
          <w:r>
            <w:fldChar w:fldCharType="separate"/>
          </w:r>
          <w:r>
            <w:rPr>
              <w:rStyle w:val="13"/>
            </w:rPr>
            <w:t xml:space="preserve">2  </w:t>
          </w:r>
          <w:r>
            <w:rPr>
              <w:rStyle w:val="13"/>
              <w:rFonts w:hint="eastAsia"/>
            </w:rPr>
            <w:t>风险管理、关键审慎监管指标和风险加权资产概览</w:t>
          </w:r>
          <w:r>
            <w:tab/>
          </w:r>
          <w:r>
            <w:fldChar w:fldCharType="begin"/>
          </w:r>
          <w:r>
            <w:instrText xml:space="preserve"> PAGEREF _Toc194311173 \h </w:instrText>
          </w:r>
          <w:r>
            <w:fldChar w:fldCharType="separate"/>
          </w:r>
          <w:r>
            <w:t>2</w:t>
          </w:r>
          <w:r>
            <w:fldChar w:fldCharType="end"/>
          </w:r>
          <w:r>
            <w:fldChar w:fldCharType="end"/>
          </w:r>
        </w:p>
        <w:p>
          <w:pPr>
            <w:pStyle w:val="10"/>
            <w:tabs>
              <w:tab w:val="right" w:leader="dot" w:pos="8302"/>
            </w:tabs>
            <w:rPr>
              <w:kern w:val="2"/>
              <w:sz w:val="21"/>
            </w:rPr>
          </w:pPr>
          <w:r>
            <w:fldChar w:fldCharType="begin"/>
          </w:r>
          <w:r>
            <w:instrText xml:space="preserve"> HYPERLINK \l "_Toc194311174" </w:instrText>
          </w:r>
          <w:r>
            <w:fldChar w:fldCharType="separate"/>
          </w:r>
          <w:r>
            <w:rPr>
              <w:rStyle w:val="13"/>
              <w:rFonts w:asciiTheme="minorEastAsia" w:hAnsiTheme="minorEastAsia"/>
            </w:rPr>
            <w:t xml:space="preserve">2.1  KM1 </w:t>
          </w:r>
          <w:r>
            <w:rPr>
              <w:rStyle w:val="13"/>
              <w:rFonts w:hint="eastAsia" w:asciiTheme="minorEastAsia" w:hAnsiTheme="minorEastAsia"/>
            </w:rPr>
            <w:t>关键审慎监管指标</w:t>
          </w:r>
          <w:r>
            <w:tab/>
          </w:r>
          <w:r>
            <w:fldChar w:fldCharType="begin"/>
          </w:r>
          <w:r>
            <w:instrText xml:space="preserve"> PAGEREF _Toc194311174 \h </w:instrText>
          </w:r>
          <w:r>
            <w:fldChar w:fldCharType="separate"/>
          </w:r>
          <w:r>
            <w:t>2</w:t>
          </w:r>
          <w:r>
            <w:fldChar w:fldCharType="end"/>
          </w:r>
          <w:r>
            <w:fldChar w:fldCharType="end"/>
          </w:r>
        </w:p>
        <w:p>
          <w:pPr>
            <w:pStyle w:val="10"/>
            <w:tabs>
              <w:tab w:val="right" w:leader="dot" w:pos="8302"/>
            </w:tabs>
            <w:rPr>
              <w:kern w:val="2"/>
              <w:sz w:val="21"/>
            </w:rPr>
          </w:pPr>
          <w:r>
            <w:fldChar w:fldCharType="begin"/>
          </w:r>
          <w:r>
            <w:instrText xml:space="preserve"> HYPERLINK \l "_Toc194311175" </w:instrText>
          </w:r>
          <w:r>
            <w:fldChar w:fldCharType="separate"/>
          </w:r>
          <w:r>
            <w:rPr>
              <w:rStyle w:val="13"/>
              <w:rFonts w:asciiTheme="minorEastAsia" w:hAnsiTheme="minorEastAsia"/>
            </w:rPr>
            <w:t xml:space="preserve">2.2  </w:t>
          </w:r>
          <w:r>
            <w:rPr>
              <w:rStyle w:val="13"/>
              <w:rFonts w:cs="Times New Roman" w:asciiTheme="minorEastAsia" w:hAnsiTheme="minorEastAsia"/>
            </w:rPr>
            <w:t xml:space="preserve">OVA </w:t>
          </w:r>
          <w:r>
            <w:rPr>
              <w:rStyle w:val="13"/>
              <w:rFonts w:hint="eastAsia" w:cs="Times New Roman" w:asciiTheme="minorEastAsia" w:hAnsiTheme="minorEastAsia"/>
            </w:rPr>
            <w:t>风险管理定性信息</w:t>
          </w:r>
          <w:r>
            <w:tab/>
          </w:r>
          <w:r>
            <w:fldChar w:fldCharType="begin"/>
          </w:r>
          <w:r>
            <w:instrText xml:space="preserve"> PAGEREF _Toc194311175 \h </w:instrText>
          </w:r>
          <w:r>
            <w:fldChar w:fldCharType="separate"/>
          </w:r>
          <w:r>
            <w:t>3</w:t>
          </w:r>
          <w:r>
            <w:fldChar w:fldCharType="end"/>
          </w:r>
          <w:r>
            <w:fldChar w:fldCharType="end"/>
          </w:r>
        </w:p>
        <w:p>
          <w:pPr>
            <w:pStyle w:val="10"/>
            <w:tabs>
              <w:tab w:val="right" w:leader="dot" w:pos="8302"/>
            </w:tabs>
            <w:rPr>
              <w:kern w:val="2"/>
              <w:sz w:val="21"/>
            </w:rPr>
          </w:pPr>
          <w:r>
            <w:fldChar w:fldCharType="begin"/>
          </w:r>
          <w:r>
            <w:instrText xml:space="preserve"> HYPERLINK \l "_Toc194311176" </w:instrText>
          </w:r>
          <w:r>
            <w:fldChar w:fldCharType="separate"/>
          </w:r>
          <w:r>
            <w:rPr>
              <w:rStyle w:val="13"/>
              <w:rFonts w:asciiTheme="minorEastAsia" w:hAnsiTheme="minorEastAsia"/>
            </w:rPr>
            <w:t xml:space="preserve">2.3  </w:t>
          </w:r>
          <w:r>
            <w:rPr>
              <w:rStyle w:val="13"/>
              <w:rFonts w:cs="Times New Roman" w:asciiTheme="minorEastAsia" w:hAnsiTheme="minorEastAsia"/>
            </w:rPr>
            <w:t xml:space="preserve">OV1 </w:t>
          </w:r>
          <w:r>
            <w:rPr>
              <w:rStyle w:val="13"/>
              <w:rFonts w:hint="eastAsia" w:asciiTheme="minorEastAsia" w:hAnsiTheme="minorEastAsia"/>
            </w:rPr>
            <w:t>风险加权资产概况</w:t>
          </w:r>
          <w:r>
            <w:tab/>
          </w:r>
          <w:r>
            <w:fldChar w:fldCharType="begin"/>
          </w:r>
          <w:r>
            <w:instrText xml:space="preserve"> PAGEREF _Toc194311176 \h </w:instrText>
          </w:r>
          <w:r>
            <w:fldChar w:fldCharType="separate"/>
          </w:r>
          <w:r>
            <w:t>5</w:t>
          </w:r>
          <w:r>
            <w:fldChar w:fldCharType="end"/>
          </w:r>
          <w:r>
            <w:fldChar w:fldCharType="end"/>
          </w:r>
        </w:p>
        <w:p>
          <w:pPr>
            <w:pStyle w:val="8"/>
            <w:rPr>
              <w:rFonts w:asciiTheme="minorHAnsi" w:hAnsiTheme="minorHAnsi"/>
              <w:b w:val="0"/>
              <w:kern w:val="2"/>
              <w:sz w:val="21"/>
              <w:szCs w:val="22"/>
            </w:rPr>
          </w:pPr>
          <w:r>
            <w:fldChar w:fldCharType="begin"/>
          </w:r>
          <w:r>
            <w:instrText xml:space="preserve"> HYPERLINK \l "_Toc194311177" </w:instrText>
          </w:r>
          <w:r>
            <w:fldChar w:fldCharType="separate"/>
          </w:r>
          <w:r>
            <w:rPr>
              <w:rStyle w:val="13"/>
            </w:rPr>
            <w:t xml:space="preserve">3  </w:t>
          </w:r>
          <w:r>
            <w:rPr>
              <w:rStyle w:val="13"/>
              <w:rFonts w:hint="eastAsia"/>
            </w:rPr>
            <w:t>资本构成</w:t>
          </w:r>
          <w:r>
            <w:tab/>
          </w:r>
          <w:r>
            <w:fldChar w:fldCharType="begin"/>
          </w:r>
          <w:r>
            <w:instrText xml:space="preserve"> PAGEREF _Toc194311177 \h </w:instrText>
          </w:r>
          <w:r>
            <w:fldChar w:fldCharType="separate"/>
          </w:r>
          <w:r>
            <w:t>6</w:t>
          </w:r>
          <w:r>
            <w:fldChar w:fldCharType="end"/>
          </w:r>
          <w:r>
            <w:fldChar w:fldCharType="end"/>
          </w:r>
        </w:p>
        <w:p>
          <w:pPr>
            <w:pStyle w:val="10"/>
            <w:tabs>
              <w:tab w:val="right" w:leader="dot" w:pos="8302"/>
            </w:tabs>
            <w:rPr>
              <w:kern w:val="2"/>
              <w:sz w:val="21"/>
            </w:rPr>
          </w:pPr>
          <w:r>
            <w:fldChar w:fldCharType="begin"/>
          </w:r>
          <w:r>
            <w:instrText xml:space="preserve"> HYPERLINK \l "_Toc194311178" </w:instrText>
          </w:r>
          <w:r>
            <w:fldChar w:fldCharType="separate"/>
          </w:r>
          <w:r>
            <w:rPr>
              <w:rStyle w:val="13"/>
              <w:rFonts w:asciiTheme="minorEastAsia" w:hAnsiTheme="minorEastAsia"/>
            </w:rPr>
            <w:t xml:space="preserve">3.1  </w:t>
          </w:r>
          <w:r>
            <w:rPr>
              <w:rStyle w:val="13"/>
              <w:rFonts w:cs="Times New Roman" w:asciiTheme="minorEastAsia" w:hAnsiTheme="minorEastAsia"/>
            </w:rPr>
            <w:t xml:space="preserve">CCA </w:t>
          </w:r>
          <w:r>
            <w:rPr>
              <w:rStyle w:val="13"/>
              <w:rFonts w:hint="eastAsia" w:asciiTheme="minorEastAsia" w:hAnsiTheme="minorEastAsia"/>
            </w:rPr>
            <w:t>资本工具的主要特征</w:t>
          </w:r>
          <w:r>
            <w:tab/>
          </w:r>
          <w:r>
            <w:fldChar w:fldCharType="begin"/>
          </w:r>
          <w:r>
            <w:instrText xml:space="preserve"> PAGEREF _Toc194311178 \h </w:instrText>
          </w:r>
          <w:r>
            <w:fldChar w:fldCharType="separate"/>
          </w:r>
          <w:r>
            <w:t>6</w:t>
          </w:r>
          <w:r>
            <w:fldChar w:fldCharType="end"/>
          </w:r>
          <w:r>
            <w:fldChar w:fldCharType="end"/>
          </w:r>
        </w:p>
        <w:p>
          <w:pPr>
            <w:pStyle w:val="10"/>
            <w:tabs>
              <w:tab w:val="right" w:leader="dot" w:pos="8302"/>
            </w:tabs>
            <w:rPr>
              <w:kern w:val="2"/>
              <w:sz w:val="21"/>
            </w:rPr>
          </w:pPr>
          <w:r>
            <w:fldChar w:fldCharType="begin"/>
          </w:r>
          <w:r>
            <w:instrText xml:space="preserve"> HYPERLINK \l "_Toc194311179" </w:instrText>
          </w:r>
          <w:r>
            <w:fldChar w:fldCharType="separate"/>
          </w:r>
          <w:r>
            <w:rPr>
              <w:rStyle w:val="13"/>
              <w:rFonts w:asciiTheme="minorEastAsia" w:hAnsiTheme="minorEastAsia"/>
            </w:rPr>
            <w:t xml:space="preserve">3.2  </w:t>
          </w:r>
          <w:r>
            <w:rPr>
              <w:rStyle w:val="13"/>
              <w:rFonts w:cs="Times New Roman" w:asciiTheme="minorEastAsia" w:hAnsiTheme="minorEastAsia"/>
            </w:rPr>
            <w:t xml:space="preserve">CC1 </w:t>
          </w:r>
          <w:r>
            <w:rPr>
              <w:rStyle w:val="13"/>
              <w:rFonts w:hint="eastAsia" w:asciiTheme="minorEastAsia" w:hAnsiTheme="minorEastAsia"/>
            </w:rPr>
            <w:t>资本构成</w:t>
          </w:r>
          <w:r>
            <w:tab/>
          </w:r>
          <w:r>
            <w:fldChar w:fldCharType="begin"/>
          </w:r>
          <w:r>
            <w:instrText xml:space="preserve"> PAGEREF _Toc194311179 \h </w:instrText>
          </w:r>
          <w:r>
            <w:fldChar w:fldCharType="separate"/>
          </w:r>
          <w:r>
            <w:t>6</w:t>
          </w:r>
          <w:r>
            <w:fldChar w:fldCharType="end"/>
          </w:r>
          <w:r>
            <w:fldChar w:fldCharType="end"/>
          </w:r>
        </w:p>
        <w:p>
          <w:pPr>
            <w:pStyle w:val="10"/>
            <w:tabs>
              <w:tab w:val="right" w:leader="dot" w:pos="8302"/>
            </w:tabs>
            <w:rPr>
              <w:kern w:val="2"/>
              <w:sz w:val="21"/>
            </w:rPr>
          </w:pPr>
          <w:r>
            <w:fldChar w:fldCharType="begin"/>
          </w:r>
          <w:r>
            <w:instrText xml:space="preserve"> HYPERLINK \l "_Toc194311180" </w:instrText>
          </w:r>
          <w:r>
            <w:fldChar w:fldCharType="separate"/>
          </w:r>
          <w:r>
            <w:rPr>
              <w:rStyle w:val="13"/>
              <w:rFonts w:asciiTheme="minorEastAsia" w:hAnsiTheme="minorEastAsia"/>
            </w:rPr>
            <w:t xml:space="preserve">3.3  </w:t>
          </w:r>
          <w:r>
            <w:rPr>
              <w:rStyle w:val="13"/>
              <w:rFonts w:cs="Times New Roman" w:asciiTheme="minorEastAsia" w:hAnsiTheme="minorEastAsia"/>
            </w:rPr>
            <w:t xml:space="preserve">CC2 </w:t>
          </w:r>
          <w:r>
            <w:rPr>
              <w:rStyle w:val="13"/>
              <w:rFonts w:hint="eastAsia" w:asciiTheme="minorEastAsia" w:hAnsiTheme="minorEastAsia"/>
            </w:rPr>
            <w:t>集团财务并表和监管并表下的资产负债表差异</w:t>
          </w:r>
          <w:r>
            <w:tab/>
          </w:r>
          <w:r>
            <w:fldChar w:fldCharType="begin"/>
          </w:r>
          <w:r>
            <w:instrText xml:space="preserve"> PAGEREF _Toc194311180 \h </w:instrText>
          </w:r>
          <w:r>
            <w:fldChar w:fldCharType="separate"/>
          </w:r>
          <w:r>
            <w:t>9</w:t>
          </w:r>
          <w:r>
            <w:fldChar w:fldCharType="end"/>
          </w:r>
          <w:r>
            <w:fldChar w:fldCharType="end"/>
          </w:r>
        </w:p>
        <w:p>
          <w:pPr>
            <w:pStyle w:val="8"/>
            <w:rPr>
              <w:rFonts w:asciiTheme="minorHAnsi" w:hAnsiTheme="minorHAnsi"/>
              <w:b w:val="0"/>
              <w:kern w:val="2"/>
              <w:sz w:val="21"/>
              <w:szCs w:val="22"/>
            </w:rPr>
          </w:pPr>
          <w:r>
            <w:fldChar w:fldCharType="begin"/>
          </w:r>
          <w:r>
            <w:instrText xml:space="preserve"> HYPERLINK \l "_Toc194311181" </w:instrText>
          </w:r>
          <w:r>
            <w:fldChar w:fldCharType="separate"/>
          </w:r>
          <w:r>
            <w:rPr>
              <w:rStyle w:val="13"/>
            </w:rPr>
            <w:t xml:space="preserve">4  </w:t>
          </w:r>
          <w:r>
            <w:rPr>
              <w:rStyle w:val="13"/>
              <w:rFonts w:hint="eastAsia"/>
            </w:rPr>
            <w:t>杠杆率</w:t>
          </w:r>
          <w:r>
            <w:tab/>
          </w:r>
          <w:r>
            <w:fldChar w:fldCharType="begin"/>
          </w:r>
          <w:r>
            <w:instrText xml:space="preserve"> PAGEREF _Toc194311181 \h </w:instrText>
          </w:r>
          <w:r>
            <w:fldChar w:fldCharType="separate"/>
          </w:r>
          <w:r>
            <w:t>11</w:t>
          </w:r>
          <w:r>
            <w:fldChar w:fldCharType="end"/>
          </w:r>
          <w:r>
            <w:fldChar w:fldCharType="end"/>
          </w:r>
        </w:p>
        <w:p>
          <w:pPr>
            <w:pStyle w:val="10"/>
            <w:tabs>
              <w:tab w:val="right" w:leader="dot" w:pos="8302"/>
            </w:tabs>
            <w:rPr>
              <w:kern w:val="2"/>
              <w:sz w:val="21"/>
            </w:rPr>
          </w:pPr>
          <w:r>
            <w:fldChar w:fldCharType="begin"/>
          </w:r>
          <w:r>
            <w:instrText xml:space="preserve"> HYPERLINK \l "_Toc194311182" </w:instrText>
          </w:r>
          <w:r>
            <w:fldChar w:fldCharType="separate"/>
          </w:r>
          <w:r>
            <w:rPr>
              <w:rStyle w:val="13"/>
              <w:rFonts w:asciiTheme="minorEastAsia" w:hAnsiTheme="minorEastAsia"/>
            </w:rPr>
            <w:t xml:space="preserve">4.1  </w:t>
          </w:r>
          <w:r>
            <w:rPr>
              <w:rStyle w:val="13"/>
              <w:rFonts w:cs="Times New Roman" w:asciiTheme="minorEastAsia" w:hAnsiTheme="minorEastAsia"/>
            </w:rPr>
            <w:t xml:space="preserve">LR1 </w:t>
          </w:r>
          <w:r>
            <w:rPr>
              <w:rStyle w:val="13"/>
              <w:rFonts w:hint="eastAsia" w:asciiTheme="minorEastAsia" w:hAnsiTheme="minorEastAsia"/>
            </w:rPr>
            <w:t>杠杆率监管项目与相关会计项目的差异</w:t>
          </w:r>
          <w:r>
            <w:tab/>
          </w:r>
          <w:r>
            <w:fldChar w:fldCharType="begin"/>
          </w:r>
          <w:r>
            <w:instrText xml:space="preserve"> PAGEREF _Toc194311182 \h </w:instrText>
          </w:r>
          <w:r>
            <w:fldChar w:fldCharType="separate"/>
          </w:r>
          <w:r>
            <w:t>11</w:t>
          </w:r>
          <w:r>
            <w:fldChar w:fldCharType="end"/>
          </w:r>
          <w:r>
            <w:fldChar w:fldCharType="end"/>
          </w:r>
        </w:p>
        <w:p>
          <w:pPr>
            <w:pStyle w:val="10"/>
            <w:tabs>
              <w:tab w:val="right" w:leader="dot" w:pos="8302"/>
            </w:tabs>
            <w:rPr>
              <w:kern w:val="2"/>
              <w:sz w:val="21"/>
            </w:rPr>
          </w:pPr>
          <w:r>
            <w:fldChar w:fldCharType="begin"/>
          </w:r>
          <w:r>
            <w:instrText xml:space="preserve"> HYPERLINK \l "_Toc194311183" </w:instrText>
          </w:r>
          <w:r>
            <w:fldChar w:fldCharType="separate"/>
          </w:r>
          <w:r>
            <w:rPr>
              <w:rStyle w:val="13"/>
              <w:rFonts w:asciiTheme="minorEastAsia" w:hAnsiTheme="minorEastAsia"/>
            </w:rPr>
            <w:t xml:space="preserve">4.2  </w:t>
          </w:r>
          <w:r>
            <w:rPr>
              <w:rStyle w:val="13"/>
              <w:rFonts w:cs="Times New Roman" w:asciiTheme="minorEastAsia" w:hAnsiTheme="minorEastAsia"/>
            </w:rPr>
            <w:t xml:space="preserve">LR2 </w:t>
          </w:r>
          <w:r>
            <w:rPr>
              <w:rStyle w:val="13"/>
              <w:rFonts w:hint="eastAsia" w:asciiTheme="minorEastAsia" w:hAnsiTheme="minorEastAsia"/>
            </w:rPr>
            <w:t>杠杆率</w:t>
          </w:r>
          <w:r>
            <w:tab/>
          </w:r>
          <w:r>
            <w:fldChar w:fldCharType="begin"/>
          </w:r>
          <w:r>
            <w:instrText xml:space="preserve"> PAGEREF _Toc194311183 \h </w:instrText>
          </w:r>
          <w:r>
            <w:fldChar w:fldCharType="separate"/>
          </w:r>
          <w:r>
            <w:t>12</w:t>
          </w:r>
          <w:r>
            <w:fldChar w:fldCharType="end"/>
          </w:r>
          <w:r>
            <w:fldChar w:fldCharType="end"/>
          </w:r>
        </w:p>
        <w:p>
          <w:pPr>
            <w:spacing w:line="360" w:lineRule="auto"/>
          </w:pPr>
          <w:r>
            <w:rPr>
              <w:rFonts w:asciiTheme="minorEastAsia" w:hAnsiTheme="minorEastAsia"/>
              <w:b/>
              <w:bCs/>
              <w:sz w:val="24"/>
              <w:szCs w:val="24"/>
              <w:lang w:val="zh-CN"/>
            </w:rPr>
            <w:fldChar w:fldCharType="end"/>
          </w:r>
        </w:p>
      </w:sdtContent>
    </w:sdt>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spacing w:line="360" w:lineRule="auto"/>
        <w:rPr>
          <w:rFonts w:cs="Times New Roman" w:asciiTheme="minorEastAsia" w:hAnsiTheme="minorEastAsia"/>
          <w:color w:val="000000"/>
          <w:szCs w:val="21"/>
        </w:rPr>
      </w:pPr>
    </w:p>
    <w:p>
      <w:pPr>
        <w:pStyle w:val="2"/>
        <w:spacing w:before="0" w:after="0" w:line="360" w:lineRule="auto"/>
        <w:rPr>
          <w:rFonts w:asciiTheme="minorEastAsia" w:hAnsiTheme="minorEastAsia"/>
          <w:sz w:val="28"/>
          <w:szCs w:val="24"/>
        </w:rPr>
        <w:sectPr>
          <w:pgSz w:w="11906" w:h="16838"/>
          <w:pgMar w:top="1304" w:right="1797" w:bottom="1304" w:left="1797" w:header="851" w:footer="992" w:gutter="0"/>
          <w:cols w:space="425" w:num="1"/>
          <w:docGrid w:type="lines" w:linePitch="312" w:charSpace="0"/>
        </w:sectPr>
      </w:pPr>
    </w:p>
    <w:p>
      <w:pPr>
        <w:pStyle w:val="2"/>
        <w:spacing w:before="0" w:after="0" w:line="360" w:lineRule="auto"/>
        <w:rPr>
          <w:rFonts w:asciiTheme="minorEastAsia" w:hAnsiTheme="minorEastAsia"/>
          <w:sz w:val="28"/>
          <w:szCs w:val="24"/>
        </w:rPr>
      </w:pPr>
      <w:bookmarkStart w:id="0" w:name="_Toc194311170"/>
      <w:r>
        <w:rPr>
          <w:rFonts w:hint="eastAsia" w:asciiTheme="minorEastAsia" w:hAnsiTheme="minorEastAsia"/>
          <w:sz w:val="28"/>
          <w:szCs w:val="24"/>
        </w:rPr>
        <w:t>1</w:t>
      </w:r>
      <w:r>
        <w:rPr>
          <w:rFonts w:asciiTheme="minorEastAsia" w:hAnsiTheme="minorEastAsia"/>
          <w:sz w:val="28"/>
          <w:szCs w:val="24"/>
        </w:rPr>
        <w:t xml:space="preserve">  </w:t>
      </w:r>
      <w:r>
        <w:rPr>
          <w:rFonts w:hint="eastAsia" w:asciiTheme="minorEastAsia" w:hAnsiTheme="minorEastAsia"/>
          <w:sz w:val="28"/>
          <w:szCs w:val="24"/>
        </w:rPr>
        <w:t>引言</w:t>
      </w:r>
      <w:bookmarkEnd w:id="0"/>
      <w:bookmarkStart w:id="14" w:name="_GoBack"/>
      <w:bookmarkEnd w:id="14"/>
    </w:p>
    <w:p>
      <w:pPr>
        <w:pStyle w:val="3"/>
        <w:spacing w:before="0" w:after="0" w:line="360" w:lineRule="auto"/>
        <w:rPr>
          <w:rFonts w:asciiTheme="minorEastAsia" w:hAnsiTheme="minorEastAsia" w:eastAsiaTheme="minorEastAsia"/>
          <w:sz w:val="24"/>
          <w:szCs w:val="24"/>
        </w:rPr>
      </w:pPr>
      <w:bookmarkStart w:id="1" w:name="_Toc194311171"/>
      <w:r>
        <w:rPr>
          <w:rFonts w:hint="eastAsia" w:asciiTheme="minorEastAsia" w:hAnsiTheme="minorEastAsia" w:eastAsiaTheme="minorEastAsia"/>
          <w:sz w:val="24"/>
          <w:szCs w:val="24"/>
        </w:rPr>
        <w:t>1.1</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披露依据</w:t>
      </w:r>
      <w:bookmarkEnd w:id="1"/>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本报告根据国家金融监督管理总局令第4号《商业银行资本管理办法》编制并披露。</w:t>
      </w:r>
    </w:p>
    <w:p>
      <w:pPr>
        <w:pStyle w:val="3"/>
        <w:spacing w:before="0" w:after="0" w:line="360" w:lineRule="auto"/>
        <w:rPr>
          <w:rFonts w:asciiTheme="minorEastAsia" w:hAnsiTheme="minorEastAsia" w:eastAsiaTheme="minorEastAsia"/>
          <w:sz w:val="24"/>
          <w:szCs w:val="24"/>
        </w:rPr>
      </w:pPr>
      <w:bookmarkStart w:id="2" w:name="_Toc194311172"/>
      <w:r>
        <w:rPr>
          <w:rFonts w:hint="eastAsia" w:asciiTheme="minorEastAsia" w:hAnsiTheme="minorEastAsia" w:eastAsiaTheme="minorEastAsia"/>
          <w:sz w:val="24"/>
          <w:szCs w:val="24"/>
        </w:rPr>
        <w:t>1.2</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披露声明</w:t>
      </w:r>
      <w:bookmarkEnd w:id="2"/>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本公司已建立第三支柱信息披露管理治理架构，由本公司董事会批准并由高级管理层实施有效的内部控制流程，对信息披露内容进行合理审查，确保第三支柱披露信息真实、可靠。</w:t>
      </w:r>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是按照国家金融监督管理总局《商业银行资本管理办法》正文第九章信息披露及附件22商业银行信息披露内容和要求编制，而非财务会计准则。因此，报告中的部分资料并不能与同期财务报告的信息直接进行比较。</w:t>
      </w:r>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本报告除特别注明外，均以千元为单位，因四舍五入可能存在数据尾差。</w:t>
      </w: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pStyle w:val="2"/>
        <w:spacing w:before="0" w:after="0" w:line="360" w:lineRule="auto"/>
        <w:rPr>
          <w:rFonts w:asciiTheme="minorEastAsia" w:hAnsiTheme="minorEastAsia"/>
          <w:sz w:val="28"/>
          <w:szCs w:val="28"/>
        </w:rPr>
      </w:pPr>
      <w:bookmarkStart w:id="3" w:name="_Toc194311173"/>
      <w:r>
        <w:rPr>
          <w:rFonts w:hint="eastAsia" w:asciiTheme="minorEastAsia" w:hAnsiTheme="minorEastAsia"/>
          <w:sz w:val="28"/>
          <w:szCs w:val="28"/>
        </w:rPr>
        <w:t>2</w:t>
      </w:r>
      <w:r>
        <w:rPr>
          <w:rFonts w:asciiTheme="minorEastAsia" w:hAnsiTheme="minorEastAsia"/>
          <w:sz w:val="28"/>
          <w:szCs w:val="28"/>
        </w:rPr>
        <w:t xml:space="preserve">  </w:t>
      </w:r>
      <w:r>
        <w:rPr>
          <w:rFonts w:hint="eastAsia" w:asciiTheme="minorEastAsia" w:hAnsiTheme="minorEastAsia"/>
          <w:sz w:val="28"/>
          <w:szCs w:val="28"/>
        </w:rPr>
        <w:t>风险管理、关键审慎监管指标和风险加权资产概览</w:t>
      </w:r>
      <w:bookmarkEnd w:id="3"/>
    </w:p>
    <w:p>
      <w:pPr>
        <w:pStyle w:val="3"/>
        <w:spacing w:before="0" w:after="0" w:line="360" w:lineRule="auto"/>
        <w:rPr>
          <w:rFonts w:asciiTheme="minorEastAsia" w:hAnsiTheme="minorEastAsia" w:eastAsiaTheme="minorEastAsia"/>
          <w:sz w:val="24"/>
          <w:szCs w:val="24"/>
        </w:rPr>
      </w:pPr>
      <w:bookmarkStart w:id="4" w:name="_Toc194311174"/>
      <w:r>
        <w:rPr>
          <w:rFonts w:hint="eastAsia" w:asciiTheme="minorEastAsia" w:hAnsiTheme="minorEastAsia" w:eastAsiaTheme="minorEastAsia"/>
          <w:sz w:val="24"/>
          <w:szCs w:val="24"/>
        </w:rPr>
        <w:t>2.1</w:t>
      </w:r>
      <w:r>
        <w:rPr>
          <w:rFonts w:asciiTheme="minorEastAsia" w:hAnsiTheme="minorEastAsia" w:eastAsiaTheme="minorEastAsia"/>
          <w:sz w:val="24"/>
          <w:szCs w:val="24"/>
        </w:rPr>
        <w:t xml:space="preserve">  KM1 </w:t>
      </w:r>
      <w:r>
        <w:rPr>
          <w:rFonts w:hint="eastAsia" w:asciiTheme="minorEastAsia" w:hAnsiTheme="minorEastAsia" w:eastAsiaTheme="minorEastAsia"/>
          <w:sz w:val="24"/>
          <w:szCs w:val="24"/>
        </w:rPr>
        <w:t>关键审慎监管指标</w:t>
      </w:r>
      <w:bookmarkEnd w:id="4"/>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关键审慎监管指标包括资本充足率、杠杆率以及流动性风险相关的指标。本公司关键审慎监管指标概览如下：</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表格KM1：监管并表关键审慎监管指标</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单位：人民币千元，百分比除外</w:t>
      </w:r>
    </w:p>
    <w:tbl>
      <w:tblPr>
        <w:tblStyle w:val="11"/>
        <w:tblW w:w="10420" w:type="dxa"/>
        <w:jc w:val="center"/>
        <w:tblLayout w:type="autofit"/>
        <w:tblCellMar>
          <w:top w:w="0" w:type="dxa"/>
          <w:left w:w="108" w:type="dxa"/>
          <w:bottom w:w="0" w:type="dxa"/>
          <w:right w:w="108" w:type="dxa"/>
        </w:tblCellMar>
      </w:tblPr>
      <w:tblGrid>
        <w:gridCol w:w="1080"/>
        <w:gridCol w:w="3340"/>
        <w:gridCol w:w="1500"/>
        <w:gridCol w:w="1500"/>
        <w:gridCol w:w="1500"/>
        <w:gridCol w:w="1500"/>
      </w:tblGrid>
      <w:tr>
        <w:tblPrEx>
          <w:tblCellMar>
            <w:top w:w="0" w:type="dxa"/>
            <w:left w:w="108" w:type="dxa"/>
            <w:bottom w:w="0" w:type="dxa"/>
            <w:right w:w="108" w:type="dxa"/>
          </w:tblCellMar>
        </w:tblPrEx>
        <w:trPr>
          <w:trHeight w:val="270" w:hRule="atLeast"/>
          <w:tblHeader/>
          <w:jc w:val="center"/>
        </w:trPr>
        <w:tc>
          <w:tcPr>
            <w:tcW w:w="442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15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c>
          <w:tcPr>
            <w:tcW w:w="15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c</w:t>
            </w:r>
          </w:p>
        </w:tc>
        <w:tc>
          <w:tcPr>
            <w:tcW w:w="15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d</w:t>
            </w:r>
          </w:p>
        </w:tc>
      </w:tr>
      <w:tr>
        <w:tblPrEx>
          <w:tblCellMar>
            <w:top w:w="0" w:type="dxa"/>
            <w:left w:w="108" w:type="dxa"/>
            <w:bottom w:w="0" w:type="dxa"/>
            <w:right w:w="108" w:type="dxa"/>
          </w:tblCellMar>
        </w:tblPrEx>
        <w:trPr>
          <w:trHeight w:val="510" w:hRule="atLeast"/>
          <w:tblHeader/>
          <w:jc w:val="center"/>
        </w:trPr>
        <w:tc>
          <w:tcPr>
            <w:tcW w:w="44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12月31日</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9月30日</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6月30日</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3月31日</w:t>
            </w:r>
          </w:p>
        </w:tc>
      </w:tr>
      <w:tr>
        <w:tblPrEx>
          <w:tblCellMar>
            <w:top w:w="0" w:type="dxa"/>
            <w:left w:w="108" w:type="dxa"/>
            <w:bottom w:w="0" w:type="dxa"/>
            <w:right w:w="108" w:type="dxa"/>
          </w:tblCellMar>
        </w:tblPrEx>
        <w:trPr>
          <w:trHeight w:val="270" w:hRule="atLeast"/>
          <w:jc w:val="center"/>
        </w:trPr>
        <w:tc>
          <w:tcPr>
            <w:tcW w:w="10420" w:type="dxa"/>
            <w:gridSpan w:val="6"/>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可用资本（数额）</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核心一级资本净额</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19,606,006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19,377,459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18,888,970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18,476,312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一级资本净额</w:t>
            </w:r>
          </w:p>
        </w:tc>
        <w:tc>
          <w:tcPr>
            <w:tcW w:w="150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19,606,006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19,377,459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18,888,970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18,476,312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资本净额</w:t>
            </w:r>
          </w:p>
        </w:tc>
        <w:tc>
          <w:tcPr>
            <w:tcW w:w="150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23,626,846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24,356,328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25,660,053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25,222,021 </w:t>
            </w:r>
          </w:p>
        </w:tc>
      </w:tr>
      <w:tr>
        <w:tblPrEx>
          <w:tblCellMar>
            <w:top w:w="0" w:type="dxa"/>
            <w:left w:w="108" w:type="dxa"/>
            <w:bottom w:w="0" w:type="dxa"/>
            <w:right w:w="108" w:type="dxa"/>
          </w:tblCellMar>
        </w:tblPrEx>
        <w:trPr>
          <w:trHeight w:val="270" w:hRule="atLeast"/>
          <w:jc w:val="center"/>
        </w:trPr>
        <w:tc>
          <w:tcPr>
            <w:tcW w:w="10420" w:type="dxa"/>
            <w:gridSpan w:val="6"/>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风险加权资产（数额）</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风险加权资产</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181,810,343 </w:t>
            </w:r>
          </w:p>
        </w:tc>
        <w:tc>
          <w:tcPr>
            <w:tcW w:w="15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185,165,874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182,073,474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182,544,081 </w:t>
            </w:r>
          </w:p>
        </w:tc>
      </w:tr>
      <w:tr>
        <w:tblPrEx>
          <w:tblCellMar>
            <w:top w:w="0" w:type="dxa"/>
            <w:left w:w="108" w:type="dxa"/>
            <w:bottom w:w="0" w:type="dxa"/>
            <w:right w:w="108" w:type="dxa"/>
          </w:tblCellMar>
        </w:tblPrEx>
        <w:trPr>
          <w:trHeight w:val="270" w:hRule="atLeast"/>
          <w:jc w:val="center"/>
        </w:trPr>
        <w:tc>
          <w:tcPr>
            <w:tcW w:w="10420" w:type="dxa"/>
            <w:gridSpan w:val="6"/>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资本充足率</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核心一级资本充足率（%）</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10.78</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10.46</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10.37</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10.12</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一级资本充足率（%）</w:t>
            </w:r>
          </w:p>
        </w:tc>
        <w:tc>
          <w:tcPr>
            <w:tcW w:w="150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10.78</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10.46</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10.37</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10.12</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资本充足率（%）</w:t>
            </w:r>
          </w:p>
        </w:tc>
        <w:tc>
          <w:tcPr>
            <w:tcW w:w="150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13.00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13.15</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14.09</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13.82</w:t>
            </w:r>
          </w:p>
        </w:tc>
      </w:tr>
      <w:tr>
        <w:tblPrEx>
          <w:tblCellMar>
            <w:top w:w="0" w:type="dxa"/>
            <w:left w:w="108" w:type="dxa"/>
            <w:bottom w:w="0" w:type="dxa"/>
            <w:right w:w="108" w:type="dxa"/>
          </w:tblCellMar>
        </w:tblPrEx>
        <w:trPr>
          <w:trHeight w:val="270" w:hRule="atLeast"/>
          <w:jc w:val="center"/>
        </w:trPr>
        <w:tc>
          <w:tcPr>
            <w:tcW w:w="10420" w:type="dxa"/>
            <w:gridSpan w:val="6"/>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其他各级资本要求</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储备资本要求（%）</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逆周期资本要求（%）</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0.00</w:t>
            </w:r>
          </w:p>
        </w:tc>
      </w:tr>
      <w:tr>
        <w:tblPrEx>
          <w:tblCellMar>
            <w:top w:w="0" w:type="dxa"/>
            <w:left w:w="108" w:type="dxa"/>
            <w:bottom w:w="0" w:type="dxa"/>
            <w:right w:w="108"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全球系统重要性银行或国内系统重要性银行附加资本要求（%）</w:t>
            </w:r>
          </w:p>
        </w:tc>
        <w:tc>
          <w:tcPr>
            <w:tcW w:w="1500"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00"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00"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500" w:type="dxa"/>
            <w:tcBorders>
              <w:top w:val="nil"/>
              <w:left w:val="nil"/>
              <w:bottom w:val="single" w:color="auto" w:sz="4" w:space="0"/>
              <w:right w:val="single" w:color="auto" w:sz="4" w:space="0"/>
            </w:tcBorders>
            <w:shd w:val="clear" w:color="000000" w:fill="E7E6E6"/>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其他各级资本要求（%）（8+9+10）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2.50</w:t>
            </w:r>
          </w:p>
        </w:tc>
      </w:tr>
      <w:tr>
        <w:tblPrEx>
          <w:tblCellMar>
            <w:top w:w="0" w:type="dxa"/>
            <w:left w:w="108" w:type="dxa"/>
            <w:bottom w:w="0" w:type="dxa"/>
            <w:right w:w="108" w:type="dxa"/>
          </w:tblCellMar>
        </w:tblPrEx>
        <w:trPr>
          <w:trHeight w:val="765"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满足最低资本要求后的可用核心一级资本净额占风险加权资产的比例（%）</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w:t>
            </w:r>
            <w:r>
              <w:rPr>
                <w:rFonts w:ascii="宋体" w:hAnsi="宋体" w:eastAsia="宋体" w:cs="宋体"/>
                <w:color w:val="000000"/>
                <w:kern w:val="0"/>
                <w:szCs w:val="21"/>
              </w:rPr>
              <w:t>78</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4.46</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4.37</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4.12</w:t>
            </w:r>
          </w:p>
        </w:tc>
      </w:tr>
      <w:tr>
        <w:tblPrEx>
          <w:tblCellMar>
            <w:top w:w="0" w:type="dxa"/>
            <w:left w:w="108" w:type="dxa"/>
            <w:bottom w:w="0" w:type="dxa"/>
            <w:right w:w="108" w:type="dxa"/>
          </w:tblCellMar>
        </w:tblPrEx>
        <w:trPr>
          <w:trHeight w:val="270" w:hRule="atLeast"/>
          <w:jc w:val="center"/>
        </w:trPr>
        <w:tc>
          <w:tcPr>
            <w:tcW w:w="10420" w:type="dxa"/>
            <w:gridSpan w:val="6"/>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杠杆率</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调整后表内外资产余额</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301,225,105 </w:t>
            </w:r>
          </w:p>
        </w:tc>
        <w:tc>
          <w:tcPr>
            <w:tcW w:w="15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300,314,887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299,155,231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289,892,585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杠杆率（%）</w:t>
            </w:r>
          </w:p>
        </w:tc>
        <w:tc>
          <w:tcPr>
            <w:tcW w:w="150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6.51</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6.31</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6.37</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14a</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杠杆率a（%）</w:t>
            </w:r>
          </w:p>
        </w:tc>
        <w:tc>
          <w:tcPr>
            <w:tcW w:w="150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6.51</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6.31</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6.37</w:t>
            </w:r>
          </w:p>
        </w:tc>
      </w:tr>
      <w:tr>
        <w:tblPrEx>
          <w:tblCellMar>
            <w:top w:w="0" w:type="dxa"/>
            <w:left w:w="108" w:type="dxa"/>
            <w:bottom w:w="0" w:type="dxa"/>
            <w:right w:w="108" w:type="dxa"/>
          </w:tblCellMar>
        </w:tblPrEx>
        <w:trPr>
          <w:trHeight w:val="270" w:hRule="atLeast"/>
          <w:jc w:val="center"/>
        </w:trPr>
        <w:tc>
          <w:tcPr>
            <w:tcW w:w="10420" w:type="dxa"/>
            <w:gridSpan w:val="6"/>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流动性覆盖率</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合格优质流动性资产</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27,949,840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21,983,053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27,179,145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28,301,182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现金净流出量</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18,579,701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13,074,040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18,369,519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25,175,238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流动性覆盖率（%）</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150.43</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168.14</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147.96</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112.42</w:t>
            </w:r>
          </w:p>
        </w:tc>
      </w:tr>
      <w:tr>
        <w:tblPrEx>
          <w:tblCellMar>
            <w:top w:w="0" w:type="dxa"/>
            <w:left w:w="108" w:type="dxa"/>
            <w:bottom w:w="0" w:type="dxa"/>
            <w:right w:w="108" w:type="dxa"/>
          </w:tblCellMar>
        </w:tblPrEx>
        <w:trPr>
          <w:trHeight w:val="270" w:hRule="atLeast"/>
          <w:jc w:val="center"/>
        </w:trPr>
        <w:tc>
          <w:tcPr>
            <w:tcW w:w="10420" w:type="dxa"/>
            <w:gridSpan w:val="6"/>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净稳定资金比例</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可用稳定资金合计</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194,994,315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196,343,437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192,956,427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188,925,846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所需稳定资金合计</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144,379,624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147,314,572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145,651,677 </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145,091,780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33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净稳定资金比例（%）</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135.06</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133.28</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132.48</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130.21</w:t>
            </w:r>
          </w:p>
        </w:tc>
      </w:tr>
      <w:tr>
        <w:tblPrEx>
          <w:tblCellMar>
            <w:top w:w="0" w:type="dxa"/>
            <w:left w:w="108" w:type="dxa"/>
            <w:bottom w:w="0" w:type="dxa"/>
            <w:right w:w="108" w:type="dxa"/>
          </w:tblCellMar>
        </w:tblPrEx>
        <w:trPr>
          <w:trHeight w:val="270" w:hRule="atLeast"/>
          <w:jc w:val="center"/>
        </w:trPr>
        <w:tc>
          <w:tcPr>
            <w:tcW w:w="10420" w:type="dxa"/>
            <w:gridSpan w:val="6"/>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流动性比例</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334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流动性比例（%）</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94.00</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78.99</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80.05</w:t>
            </w:r>
          </w:p>
        </w:tc>
        <w:tc>
          <w:tcPr>
            <w:tcW w:w="15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67.84</w:t>
            </w:r>
          </w:p>
        </w:tc>
      </w:tr>
    </w:tbl>
    <w:p>
      <w:pPr>
        <w:pStyle w:val="3"/>
        <w:spacing w:before="0" w:after="0" w:line="360" w:lineRule="auto"/>
        <w:rPr>
          <w:rFonts w:asciiTheme="minorEastAsia" w:hAnsiTheme="minorEastAsia" w:eastAsiaTheme="minorEastAsia"/>
          <w:sz w:val="24"/>
          <w:szCs w:val="24"/>
        </w:rPr>
      </w:pPr>
      <w:bookmarkStart w:id="5" w:name="_Toc194311175"/>
      <w:r>
        <w:rPr>
          <w:rFonts w:hint="eastAsia" w:asciiTheme="minorEastAsia" w:hAnsiTheme="minorEastAsia" w:eastAsiaTheme="minorEastAsia"/>
          <w:sz w:val="24"/>
          <w:szCs w:val="24"/>
        </w:rPr>
        <w:t>2.2</w:t>
      </w:r>
      <w:r>
        <w:rPr>
          <w:rFonts w:asciiTheme="minorEastAsia" w:hAnsiTheme="minorEastAsia" w:eastAsiaTheme="minorEastAsia"/>
          <w:sz w:val="24"/>
          <w:szCs w:val="24"/>
        </w:rPr>
        <w:t xml:space="preserve">  </w:t>
      </w:r>
      <w:r>
        <w:rPr>
          <w:rFonts w:hint="eastAsia" w:cs="Times New Roman" w:asciiTheme="minorEastAsia" w:hAnsiTheme="minorEastAsia"/>
          <w:color w:val="000000"/>
          <w:sz w:val="24"/>
          <w:szCs w:val="24"/>
        </w:rPr>
        <w:t>OVA 风险管理定性信息</w:t>
      </w:r>
      <w:bookmarkEnd w:id="5"/>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公司持续加强全面风险管理，围绕全行工作主线和目标，培育风险文化，健全风控机制，提升专业能力，持续探索智能风控，强化巩固重点风险领域防范力量，坚持在风险可控前提下发展业务，积极主动应对各类风险挑战，对经营中各类风险进行准确识别、审慎评估、动态监测、及时应对及全程管理，并通过年报、半年报等途径对相关风险管理情况及时披露。</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风险偏好是本公司董事会在实现经营策略目标过程中愿意承担的风险水平的表述，经董事会审批，并在执行中接受董事会的监督。按照风险偏好陈述书、风险偏好管理办法，明确风险偏好的具体管理要求，并通过事前传导与事后监测手段，防止相关业务过度承担不可接受的风险或过低的风险，实现业务规模、资本回报和风险水平的合理平衡。 根据风险偏好进一步完善风险限额指标体系，设置覆盖信用风险、集中度风险、市场风险、操作风险、流动性风险、银行账簿利率风险、信息科技风险、国别风险、战略风险、洗钱和恐怖融资风险等。</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公司持续健全风险治理架构，由董事会、监事会、董事会下设的风险管理与关联交易控制委员会、高级管理层、高级管理层下设的全面风险管理委员会、业务部门、风险管理部门、审计稽核部门等构成，完整的风险治理架构建设强有力的风险管理环境，“三道防线”职责明确、相互独立，基本做到了层次清晰、分工明确。</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董事会承担全面风险管理的最终责任，下设风险管理与关联交易控制委员会，根据董事会的授权履行全面风险管理的部分职责。高级管理层按照企业章程和董事会授权，履行风险管理职责，执行董事会决策，下设全面风险管理委员会。监事会承担全面风险管理的监督责任。总行风险管理部负责全面风险管理日常工作，按照全面风险统筹管理、专业风险分工负责要求，各类别风险管理工作在总行职能部门间进行适当分工，建立起横纵结合、相互协作、多维立体的风险管理执行落实体系，巩固强化执行成效。合规管理部门做好内部控制的建设、管理，以及合规体系的建设、管理、监督、评价。审计稽核部门对风险管理体系的全面性、可靠性、充分性和有效性实施评价，做好内部控制的监督、评价，对各类风险管理的各个组成部门和环节进行独立审计监督。</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公司建立健全风险文化并有效传播，将风险管理理念转化为员工的共同认识、自觉行动和自我约束，强化职业道德操守，将“依法合规、稳健经营”的风险文化渗透到日常工作中，成为全体员工的共同意识和自觉习惯。始终遵循客观经济规律，开展业务和管理创新的风险评估，坚持有规可循、内控先行和效益可得。</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公司持续开发和优化风险计量系统，风险计量系统覆盖信用风险、市场风险、操作风险和流动性风险等类型。本行依托各类风险管理系统以及配套支持体系，逐步完善事前、事中和事后风险管控机制和流程，丰富风险管控、预警手段，前移风险管控关口。</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公司建立纵向报告与横向传送相结合的矩阵式风险报告体系，一是专业风险报告：专业风险主管部门按季向分管行领导及风险管理部报送专业风险分析报告。二是全面风险报告：按季向董事会、高管层及其下设专门委员会提交全面风险报告，全面评估全行风险状况，确保信息充分共享并能够支持风险管理相关决策。三是重大风险信息和突发事件报告：发生重大风险事件的按相关要求进行报告。</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本公司每年定期开展压力测试，旨在评估本公司在宏观经济下行的假设情景下的风险抵御能力。压力测试覆盖各类表内外资产，基于各类风险量化模型，围绕信用风险、市场风险、流动性风险等各类风险，综合评估压力情景对资产质量和资本充足水平等各项经营指标的影响，并根据压力测试结果，优化风险管理措施。 </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本公司持续完善全面风险管理架构，优化主要风险识别、评估管理体系，由各类别风险管理部门通过有效识别和评估业务经营中面临的各种实质性风险，全面整合各类风险管理信息，准确量化风险并持续开展风险监测，综合评估整体风险状况，旨在通过对风险的主动管理和经营，持续提升风险收益和资本回报，保证银行持续稳健经营。 </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公司内部资本充足评估程序包括治理架构和政策制度体系、主要类别风险、资本规划和资本补充计划、资本充足水平评估及压力测试等。每年由风险管理部牵头，采用定量与定性结合方式，完成内部资本充足评估报告，并提交董事会审议。</w:t>
      </w:r>
    </w:p>
    <w:p>
      <w:pPr>
        <w:pStyle w:val="3"/>
        <w:spacing w:before="0" w:after="0" w:line="360" w:lineRule="auto"/>
        <w:rPr>
          <w:rFonts w:asciiTheme="minorEastAsia" w:hAnsiTheme="minorEastAsia" w:eastAsiaTheme="minorEastAsia"/>
          <w:sz w:val="24"/>
          <w:szCs w:val="24"/>
        </w:rPr>
      </w:pPr>
      <w:bookmarkStart w:id="6" w:name="_Toc194311176"/>
      <w:r>
        <w:rPr>
          <w:rFonts w:hint="eastAsia" w:asciiTheme="minorEastAsia" w:hAnsiTheme="minorEastAsia" w:eastAsiaTheme="minorEastAsia"/>
          <w:sz w:val="24"/>
          <w:szCs w:val="24"/>
        </w:rPr>
        <w:t>2.</w:t>
      </w:r>
      <w:r>
        <w:rPr>
          <w:rFonts w:asciiTheme="minorEastAsia" w:hAnsiTheme="minorEastAsia" w:eastAsiaTheme="minorEastAsia"/>
          <w:sz w:val="24"/>
          <w:szCs w:val="24"/>
        </w:rPr>
        <w:t xml:space="preserve">3  </w:t>
      </w:r>
      <w:r>
        <w:rPr>
          <w:rFonts w:hint="eastAsia" w:cs="Times New Roman" w:asciiTheme="minorEastAsia" w:hAnsiTheme="minorEastAsia"/>
          <w:color w:val="000000"/>
          <w:sz w:val="24"/>
          <w:szCs w:val="24"/>
        </w:rPr>
        <w:t xml:space="preserve">OV1 </w:t>
      </w:r>
      <w:r>
        <w:rPr>
          <w:rFonts w:hint="eastAsia" w:asciiTheme="minorEastAsia" w:hAnsiTheme="minorEastAsia" w:eastAsiaTheme="minorEastAsia"/>
          <w:sz w:val="24"/>
          <w:szCs w:val="24"/>
        </w:rPr>
        <w:t>风险加权资产概况</w:t>
      </w:r>
      <w:bookmarkEnd w:id="6"/>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下表列示本公司第一支柱风险加权资产和资本要求。</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表格OV1：风险加权资产概况</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w:t>
      </w:r>
    </w:p>
    <w:tbl>
      <w:tblPr>
        <w:tblStyle w:val="11"/>
        <w:tblW w:w="10300" w:type="dxa"/>
        <w:jc w:val="center"/>
        <w:tblLayout w:type="autofit"/>
        <w:tblCellMar>
          <w:top w:w="0" w:type="dxa"/>
          <w:left w:w="108" w:type="dxa"/>
          <w:bottom w:w="0" w:type="dxa"/>
          <w:right w:w="108" w:type="dxa"/>
        </w:tblCellMar>
      </w:tblPr>
      <w:tblGrid>
        <w:gridCol w:w="1080"/>
        <w:gridCol w:w="4060"/>
        <w:gridCol w:w="1720"/>
        <w:gridCol w:w="1720"/>
        <w:gridCol w:w="1720"/>
      </w:tblGrid>
      <w:tr>
        <w:tblPrEx>
          <w:tblCellMar>
            <w:top w:w="0" w:type="dxa"/>
            <w:left w:w="108" w:type="dxa"/>
            <w:bottom w:w="0" w:type="dxa"/>
            <w:right w:w="108" w:type="dxa"/>
          </w:tblCellMar>
        </w:tblPrEx>
        <w:trPr>
          <w:trHeight w:val="270" w:hRule="atLeast"/>
          <w:tblHeader/>
          <w:jc w:val="center"/>
        </w:trPr>
        <w:tc>
          <w:tcPr>
            <w:tcW w:w="514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c</w:t>
            </w:r>
          </w:p>
        </w:tc>
      </w:tr>
      <w:tr>
        <w:tblPrEx>
          <w:tblCellMar>
            <w:top w:w="0" w:type="dxa"/>
            <w:left w:w="108" w:type="dxa"/>
            <w:bottom w:w="0" w:type="dxa"/>
            <w:right w:w="108" w:type="dxa"/>
          </w:tblCellMar>
        </w:tblPrEx>
        <w:trPr>
          <w:trHeight w:val="270" w:hRule="atLeast"/>
          <w:tblHeader/>
          <w:jc w:val="center"/>
        </w:trPr>
        <w:tc>
          <w:tcPr>
            <w:tcW w:w="51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344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风险加权资产</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最低资本要求</w:t>
            </w:r>
          </w:p>
        </w:tc>
      </w:tr>
      <w:tr>
        <w:tblPrEx>
          <w:tblCellMar>
            <w:top w:w="0" w:type="dxa"/>
            <w:left w:w="108" w:type="dxa"/>
            <w:bottom w:w="0" w:type="dxa"/>
            <w:right w:w="108" w:type="dxa"/>
          </w:tblCellMar>
        </w:tblPrEx>
        <w:trPr>
          <w:trHeight w:val="510" w:hRule="atLeast"/>
          <w:tblHeader/>
          <w:jc w:val="center"/>
        </w:trPr>
        <w:tc>
          <w:tcPr>
            <w:tcW w:w="514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12月31日</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9月30日</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12月31日</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4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信用风险</w:t>
            </w:r>
          </w:p>
        </w:tc>
        <w:tc>
          <w:tcPr>
            <w:tcW w:w="172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173,608,856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176,614,924 </w:t>
            </w:r>
          </w:p>
        </w:tc>
        <w:tc>
          <w:tcPr>
            <w:tcW w:w="172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13,888,708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4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市场风险</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218,247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258,890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17,460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4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操作风险</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7,983,240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8,292,060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638,659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4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交易账簿和银行账簿间转换的资本要求</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40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合计</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181,810,343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185,165,874 </w:t>
            </w:r>
          </w:p>
        </w:tc>
        <w:tc>
          <w:tcPr>
            <w:tcW w:w="172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14,544,827 </w:t>
            </w:r>
          </w:p>
        </w:tc>
      </w:tr>
    </w:tbl>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spacing w:line="360" w:lineRule="auto"/>
        <w:jc w:val="left"/>
        <w:rPr>
          <w:rFonts w:cs="Times New Roman" w:asciiTheme="minorEastAsia" w:hAnsiTheme="minorEastAsia"/>
          <w:color w:val="000000"/>
          <w:sz w:val="24"/>
          <w:szCs w:val="24"/>
        </w:rPr>
      </w:pPr>
    </w:p>
    <w:p>
      <w:pPr>
        <w:pStyle w:val="2"/>
        <w:spacing w:before="0" w:after="0" w:line="360" w:lineRule="auto"/>
        <w:rPr>
          <w:rFonts w:asciiTheme="minorEastAsia" w:hAnsiTheme="minorEastAsia"/>
          <w:sz w:val="28"/>
          <w:szCs w:val="24"/>
        </w:rPr>
      </w:pPr>
      <w:bookmarkStart w:id="7" w:name="_Toc194311177"/>
      <w:r>
        <w:rPr>
          <w:rFonts w:hint="eastAsia" w:asciiTheme="minorEastAsia" w:hAnsiTheme="minorEastAsia"/>
          <w:sz w:val="28"/>
          <w:szCs w:val="24"/>
        </w:rPr>
        <w:t>3</w:t>
      </w:r>
      <w:r>
        <w:rPr>
          <w:rFonts w:asciiTheme="minorEastAsia" w:hAnsiTheme="minorEastAsia"/>
          <w:sz w:val="28"/>
          <w:szCs w:val="24"/>
        </w:rPr>
        <w:t xml:space="preserve">  </w:t>
      </w:r>
      <w:r>
        <w:rPr>
          <w:rFonts w:hint="eastAsia" w:asciiTheme="minorEastAsia" w:hAnsiTheme="minorEastAsia"/>
          <w:sz w:val="28"/>
          <w:szCs w:val="24"/>
        </w:rPr>
        <w:t>资本构成</w:t>
      </w:r>
      <w:bookmarkEnd w:id="7"/>
    </w:p>
    <w:p>
      <w:pPr>
        <w:pStyle w:val="3"/>
        <w:spacing w:before="0" w:after="0" w:line="360" w:lineRule="auto"/>
        <w:rPr>
          <w:rFonts w:asciiTheme="minorEastAsia" w:hAnsiTheme="minorEastAsia" w:eastAsiaTheme="minorEastAsia"/>
          <w:sz w:val="24"/>
          <w:szCs w:val="24"/>
        </w:rPr>
      </w:pPr>
      <w:bookmarkStart w:id="8" w:name="_Toc194311178"/>
      <w:r>
        <w:rPr>
          <w:rFonts w:hint="eastAsia" w:asciiTheme="minorEastAsia" w:hAnsiTheme="minorEastAsia" w:eastAsiaTheme="minorEastAsia"/>
          <w:sz w:val="24"/>
          <w:szCs w:val="24"/>
        </w:rPr>
        <w:t>3.1</w:t>
      </w:r>
      <w:r>
        <w:rPr>
          <w:rFonts w:asciiTheme="minorEastAsia" w:hAnsiTheme="minorEastAsia" w:eastAsiaTheme="minorEastAsia"/>
          <w:sz w:val="24"/>
          <w:szCs w:val="24"/>
        </w:rPr>
        <w:t xml:space="preserve">  </w:t>
      </w:r>
      <w:r>
        <w:rPr>
          <w:rFonts w:hint="eastAsia" w:cs="Times New Roman" w:asciiTheme="minorEastAsia" w:hAnsiTheme="minorEastAsia"/>
          <w:color w:val="000000"/>
          <w:sz w:val="24"/>
          <w:szCs w:val="24"/>
        </w:rPr>
        <w:t>CC</w:t>
      </w:r>
      <w:r>
        <w:rPr>
          <w:rFonts w:cs="Times New Roman" w:asciiTheme="minorEastAsia" w:hAnsiTheme="minorEastAsia"/>
          <w:color w:val="000000"/>
          <w:sz w:val="24"/>
          <w:szCs w:val="24"/>
        </w:rPr>
        <w:t xml:space="preserve">A </w:t>
      </w:r>
      <w:r>
        <w:rPr>
          <w:rFonts w:hint="eastAsia" w:asciiTheme="minorEastAsia" w:hAnsiTheme="minorEastAsia" w:eastAsiaTheme="minorEastAsia"/>
          <w:sz w:val="24"/>
          <w:szCs w:val="24"/>
        </w:rPr>
        <w:t>资本工具的主要特征</w:t>
      </w:r>
      <w:bookmarkEnd w:id="8"/>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本表所披露的本公司资本工具主要特征已在官方网站公开披露，详情请见紫金农商银行官网投资者关系专栏。（官网链接：</w:t>
      </w:r>
      <w:r>
        <w:rPr>
          <w:rFonts w:cs="Times New Roman" w:asciiTheme="minorEastAsia" w:hAnsiTheme="minorEastAsia"/>
          <w:color w:val="000000"/>
          <w:sz w:val="24"/>
          <w:szCs w:val="24"/>
        </w:rPr>
        <w:t>http://www.zjrcbank.com</w:t>
      </w:r>
      <w:r>
        <w:rPr>
          <w:rFonts w:hint="eastAsia" w:cs="Times New Roman" w:asciiTheme="minorEastAsia" w:hAnsiTheme="minorEastAsia"/>
          <w:color w:val="000000"/>
          <w:sz w:val="24"/>
          <w:szCs w:val="24"/>
        </w:rPr>
        <w:t>）</w:t>
      </w:r>
    </w:p>
    <w:p>
      <w:pPr>
        <w:pStyle w:val="3"/>
        <w:spacing w:before="0" w:after="0" w:line="360" w:lineRule="auto"/>
        <w:rPr>
          <w:rFonts w:asciiTheme="minorEastAsia" w:hAnsiTheme="minorEastAsia" w:eastAsiaTheme="minorEastAsia"/>
          <w:sz w:val="24"/>
          <w:szCs w:val="24"/>
        </w:rPr>
      </w:pPr>
      <w:bookmarkStart w:id="9" w:name="_Toc194311179"/>
      <w:r>
        <w:rPr>
          <w:rFonts w:hint="eastAsia" w:asciiTheme="minorEastAsia" w:hAnsiTheme="minorEastAsia" w:eastAsiaTheme="minorEastAsia"/>
          <w:sz w:val="24"/>
          <w:szCs w:val="24"/>
        </w:rPr>
        <w:t>3.2</w:t>
      </w:r>
      <w:r>
        <w:rPr>
          <w:rFonts w:asciiTheme="minorEastAsia" w:hAnsiTheme="minorEastAsia" w:eastAsiaTheme="minorEastAsia"/>
          <w:sz w:val="24"/>
          <w:szCs w:val="24"/>
        </w:rPr>
        <w:t xml:space="preserve">  </w:t>
      </w:r>
      <w:r>
        <w:rPr>
          <w:rFonts w:hint="eastAsia" w:cs="Times New Roman" w:asciiTheme="minorEastAsia" w:hAnsiTheme="minorEastAsia"/>
          <w:color w:val="000000"/>
          <w:sz w:val="24"/>
          <w:szCs w:val="24"/>
        </w:rPr>
        <w:t xml:space="preserve">CC1 </w:t>
      </w:r>
      <w:r>
        <w:rPr>
          <w:rFonts w:hint="eastAsia" w:asciiTheme="minorEastAsia" w:hAnsiTheme="minorEastAsia" w:eastAsiaTheme="minorEastAsia"/>
          <w:sz w:val="24"/>
          <w:szCs w:val="24"/>
        </w:rPr>
        <w:t>资本构成</w:t>
      </w:r>
      <w:bookmarkEnd w:id="9"/>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下表列示本公司资本构成、最低监管资本要求及其与监管并表下的资产负债表的对应关系等。</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表格CC1：资本构成</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单位：人民币千元，百分比除外</w:t>
      </w:r>
    </w:p>
    <w:tbl>
      <w:tblPr>
        <w:tblStyle w:val="11"/>
        <w:tblW w:w="10060" w:type="dxa"/>
        <w:jc w:val="center"/>
        <w:tblLayout w:type="autofit"/>
        <w:tblCellMar>
          <w:top w:w="0" w:type="dxa"/>
          <w:left w:w="0" w:type="dxa"/>
          <w:bottom w:w="0" w:type="dxa"/>
          <w:right w:w="0" w:type="dxa"/>
        </w:tblCellMar>
      </w:tblPr>
      <w:tblGrid>
        <w:gridCol w:w="1080"/>
        <w:gridCol w:w="4600"/>
        <w:gridCol w:w="2800"/>
        <w:gridCol w:w="1580"/>
      </w:tblGrid>
      <w:tr>
        <w:tblPrEx>
          <w:tblCellMar>
            <w:top w:w="0" w:type="dxa"/>
            <w:left w:w="0" w:type="dxa"/>
            <w:bottom w:w="0" w:type="dxa"/>
            <w:right w:w="0" w:type="dxa"/>
          </w:tblCellMar>
        </w:tblPrEx>
        <w:trPr>
          <w:trHeight w:val="270" w:hRule="atLeast"/>
          <w:tblHeader/>
          <w:jc w:val="center"/>
        </w:trPr>
        <w:tc>
          <w:tcPr>
            <w:tcW w:w="5680"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widowControl/>
              <w:jc w:val="left"/>
              <w:rPr>
                <w:rFonts w:ascii="宋体" w:hAnsi="宋体" w:eastAsia="宋体"/>
                <w:color w:val="000000"/>
                <w:szCs w:val="21"/>
              </w:rPr>
            </w:pPr>
            <w:r>
              <w:rPr>
                <w:rFonts w:hint="eastAsia" w:ascii="宋体" w:hAnsi="宋体" w:eastAsia="宋体"/>
                <w:color w:val="000000"/>
                <w:szCs w:val="21"/>
              </w:rPr>
              <w:t>　</w:t>
            </w:r>
          </w:p>
        </w:tc>
        <w:tc>
          <w:tcPr>
            <w:tcW w:w="2800" w:type="dxa"/>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a</w:t>
            </w:r>
          </w:p>
        </w:tc>
        <w:tc>
          <w:tcPr>
            <w:tcW w:w="1580" w:type="dxa"/>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b</w:t>
            </w:r>
          </w:p>
        </w:tc>
      </w:tr>
      <w:tr>
        <w:tblPrEx>
          <w:tblCellMar>
            <w:top w:w="0" w:type="dxa"/>
            <w:left w:w="0" w:type="dxa"/>
            <w:bottom w:w="0" w:type="dxa"/>
            <w:right w:w="0" w:type="dxa"/>
          </w:tblCellMar>
        </w:tblPrEx>
        <w:trPr>
          <w:trHeight w:val="270" w:hRule="atLeast"/>
          <w:tblHeader/>
          <w:jc w:val="center"/>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szCs w:val="21"/>
              </w:rPr>
            </w:pP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数额</w:t>
            </w:r>
          </w:p>
        </w:tc>
        <w:tc>
          <w:tcPr>
            <w:tcW w:w="1580" w:type="dxa"/>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代码</w:t>
            </w:r>
          </w:p>
        </w:tc>
      </w:tr>
      <w:tr>
        <w:tblPrEx>
          <w:tblCellMar>
            <w:top w:w="0" w:type="dxa"/>
            <w:left w:w="0" w:type="dxa"/>
            <w:bottom w:w="0" w:type="dxa"/>
            <w:right w:w="0" w:type="dxa"/>
          </w:tblCellMar>
        </w:tblPrEx>
        <w:trPr>
          <w:trHeight w:val="270" w:hRule="atLeast"/>
          <w:tblHeader/>
          <w:jc w:val="center"/>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szCs w:val="21"/>
              </w:rPr>
            </w:pP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2024年12月31日</w:t>
            </w:r>
          </w:p>
        </w:tc>
        <w:tc>
          <w:tcPr>
            <w:tcW w:w="0" w:type="auto"/>
            <w:vMerge w:val="continue"/>
            <w:tcBorders>
              <w:top w:val="nil"/>
              <w:left w:val="single" w:color="auto" w:sz="4" w:space="0"/>
              <w:bottom w:val="single" w:color="000000" w:sz="4" w:space="0"/>
              <w:right w:val="single" w:color="auto" w:sz="4" w:space="0"/>
            </w:tcBorders>
            <w:vAlign w:val="center"/>
          </w:tcPr>
          <w:p>
            <w:pPr>
              <w:rPr>
                <w:rFonts w:ascii="宋体" w:hAnsi="宋体" w:eastAsia="宋体" w:cs="宋体"/>
                <w:color w:val="000000"/>
                <w:szCs w:val="21"/>
              </w:rPr>
            </w:pPr>
          </w:p>
        </w:tc>
      </w:tr>
      <w:tr>
        <w:tblPrEx>
          <w:tblCellMar>
            <w:top w:w="0" w:type="dxa"/>
            <w:left w:w="0" w:type="dxa"/>
            <w:bottom w:w="0" w:type="dxa"/>
            <w:right w:w="0" w:type="dxa"/>
          </w:tblCellMar>
        </w:tblPrEx>
        <w:trPr>
          <w:trHeight w:val="270" w:hRule="atLeast"/>
          <w:jc w:val="center"/>
        </w:trPr>
        <w:tc>
          <w:tcPr>
            <w:tcW w:w="10060" w:type="dxa"/>
            <w:gridSpan w:val="4"/>
            <w:tcBorders>
              <w:top w:val="single" w:color="auto" w:sz="4" w:space="0"/>
              <w:left w:val="single" w:color="auto" w:sz="4" w:space="0"/>
              <w:bottom w:val="single" w:color="auto" w:sz="4" w:space="0"/>
              <w:right w:val="single" w:color="auto" w:sz="4" w:space="0"/>
            </w:tcBorders>
            <w:shd w:val="clear" w:color="000000" w:fill="D9D9D9"/>
            <w:tcMar>
              <w:top w:w="15" w:type="dxa"/>
              <w:left w:w="15" w:type="dxa"/>
              <w:bottom w:w="0" w:type="dxa"/>
              <w:right w:w="15" w:type="dxa"/>
            </w:tcMar>
            <w:vAlign w:val="center"/>
          </w:tcPr>
          <w:p>
            <w:pPr>
              <w:jc w:val="left"/>
              <w:rPr>
                <w:rFonts w:ascii="宋体" w:hAnsi="宋体" w:eastAsia="宋体"/>
                <w:b/>
                <w:bCs/>
                <w:color w:val="000000"/>
                <w:szCs w:val="21"/>
              </w:rPr>
            </w:pPr>
            <w:r>
              <w:rPr>
                <w:rFonts w:hint="eastAsia" w:ascii="宋体" w:hAnsi="宋体" w:eastAsia="宋体"/>
                <w:b/>
                <w:bCs/>
                <w:color w:val="000000"/>
                <w:szCs w:val="21"/>
              </w:rPr>
              <w:t>核心一级资本</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1</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实收资本和资本公积可计入部分</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6,638,391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e+g</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2</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留存收益</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12,343,412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2a</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盈余公积</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3,137,096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h</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2b</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一般风险准备</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6,092,468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i</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2c</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未分配利润</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3,113,848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j</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3</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累计其他综合收益</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827,242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4</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少数股东资本可计入部分</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b/>
                <w:bCs/>
                <w:color w:val="000000"/>
                <w:szCs w:val="21"/>
              </w:rPr>
            </w:pPr>
            <w:r>
              <w:rPr>
                <w:rFonts w:hint="eastAsia" w:ascii="宋体" w:hAnsi="宋体" w:eastAsia="宋体"/>
                <w:b/>
                <w:bCs/>
                <w:color w:val="000000"/>
                <w:szCs w:val="21"/>
              </w:rPr>
              <w:t>扣除前的核心一级资本</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b/>
                <w:bCs/>
                <w:color w:val="000000"/>
                <w:szCs w:val="21"/>
              </w:rPr>
            </w:pPr>
            <w:r>
              <w:rPr>
                <w:rFonts w:hint="eastAsia" w:ascii="宋体" w:hAnsi="宋体" w:eastAsia="宋体"/>
                <w:b/>
                <w:bCs/>
                <w:color w:val="000000"/>
                <w:szCs w:val="21"/>
              </w:rPr>
              <w:t xml:space="preserve">           19,809,045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060" w:type="dxa"/>
            <w:gridSpan w:val="4"/>
            <w:tcBorders>
              <w:top w:val="single" w:color="auto" w:sz="4" w:space="0"/>
              <w:left w:val="single" w:color="auto" w:sz="4" w:space="0"/>
              <w:bottom w:val="single" w:color="auto" w:sz="4" w:space="0"/>
              <w:right w:val="single" w:color="auto" w:sz="4" w:space="0"/>
            </w:tcBorders>
            <w:shd w:val="clear" w:color="000000" w:fill="E7E6E6"/>
            <w:tcMar>
              <w:top w:w="15" w:type="dxa"/>
              <w:left w:w="15" w:type="dxa"/>
              <w:bottom w:w="0" w:type="dxa"/>
              <w:right w:w="15" w:type="dxa"/>
            </w:tcMar>
            <w:vAlign w:val="center"/>
          </w:tcPr>
          <w:p>
            <w:pPr>
              <w:jc w:val="left"/>
              <w:rPr>
                <w:rFonts w:ascii="宋体" w:hAnsi="宋体" w:eastAsia="宋体"/>
                <w:b/>
                <w:bCs/>
                <w:color w:val="000000"/>
                <w:szCs w:val="21"/>
              </w:rPr>
            </w:pPr>
            <w:r>
              <w:rPr>
                <w:rFonts w:hint="eastAsia" w:ascii="宋体" w:hAnsi="宋体" w:eastAsia="宋体"/>
                <w:b/>
                <w:bCs/>
                <w:color w:val="000000"/>
                <w:szCs w:val="21"/>
              </w:rPr>
              <w:t>核心一级资本：扣除项</w:t>
            </w: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审慎估值调整</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7</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商誉（扣除递延税负债）</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a-c</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8</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其他无形资产（土地使用权除外）（扣除递延税负债）</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51,310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b-d</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9</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依赖未来盈利的由经营亏损引起的净递延税资产</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10</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对未按公允价值计量的项目进行套期形成的现金流储备</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11</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损失准备缺口</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12</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资产证券化销售利得</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13</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自身信用风险变化导致其负债公允价值变化带来的未实现损益</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14</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确定受益类的养老金资产净额（扣除递延税负债）</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15</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直接或间接持有本银行的股票</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16</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银行间或银行与其他金融机构间通过协议相互持有的核心一级资本</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17</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对未并表金融机构小额少数资本投资中的核心一级资本中应扣除金额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18</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对未并表金融机构大额少数资本投资中的核心一级资本中应扣除金额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19</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其他依赖于银行未来盈利的净递延税资产中应扣除金额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102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20</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对未并表金融机构大额少数资本投资中的核心一级资本和其他依赖于银行未来盈利的净递延税资产的未扣除部分超过核心一级资本15%的应扣除金额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151,729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21</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 xml:space="preserve">    其中：应在对金融机构大额少数资本投资中扣除的金额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60,932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22</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 xml:space="preserve">    其中：应在其他依赖于银行未来盈利的净递延税资产中扣除的金额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90,797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23</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其他应在核心一级资本中扣除的项目合计</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24</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应从其他一级资本和二级资本中扣除的未扣缺口</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25</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核心一级资本扣除项总和</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b/>
                <w:bCs/>
                <w:color w:val="000000"/>
                <w:szCs w:val="21"/>
              </w:rPr>
            </w:pPr>
            <w:r>
              <w:rPr>
                <w:rFonts w:hint="eastAsia" w:ascii="宋体" w:hAnsi="宋体" w:eastAsia="宋体"/>
                <w:b/>
                <w:bCs/>
                <w:color w:val="000000"/>
                <w:szCs w:val="21"/>
              </w:rPr>
              <w:t xml:space="preserve">              203,039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26</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核心一级资本净额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b/>
                <w:bCs/>
                <w:color w:val="000000"/>
                <w:szCs w:val="21"/>
              </w:rPr>
            </w:pPr>
            <w:r>
              <w:rPr>
                <w:rFonts w:hint="eastAsia" w:ascii="宋体" w:hAnsi="宋体" w:eastAsia="宋体"/>
                <w:b/>
                <w:bCs/>
                <w:color w:val="000000"/>
                <w:szCs w:val="21"/>
              </w:rPr>
              <w:t xml:space="preserve">           19,606,006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060" w:type="dxa"/>
            <w:gridSpan w:val="4"/>
            <w:tcBorders>
              <w:top w:val="single" w:color="auto" w:sz="4" w:space="0"/>
              <w:left w:val="single" w:color="auto" w:sz="4" w:space="0"/>
              <w:bottom w:val="single" w:color="auto" w:sz="4" w:space="0"/>
              <w:right w:val="single" w:color="auto" w:sz="4" w:space="0"/>
            </w:tcBorders>
            <w:shd w:val="clear" w:color="000000" w:fill="E7E6E6"/>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其他一级资本</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27</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其他一级资本工具及其溢价</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28</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 xml:space="preserve">    其中：权益部分</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29</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 xml:space="preserve">    其中：负债部分</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30</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少数股东资本可计入部分</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31</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扣除前的其他一级资本</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060" w:type="dxa"/>
            <w:gridSpan w:val="4"/>
            <w:tcBorders>
              <w:top w:val="single" w:color="auto" w:sz="4" w:space="0"/>
              <w:left w:val="single" w:color="auto" w:sz="4" w:space="0"/>
              <w:bottom w:val="single" w:color="auto" w:sz="4" w:space="0"/>
              <w:right w:val="single" w:color="auto" w:sz="4" w:space="0"/>
            </w:tcBorders>
            <w:shd w:val="clear" w:color="000000" w:fill="E7E6E6"/>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其他一级资本:扣除项</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32</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直接或间接持有的本银行其他一级资本</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33</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银行间或银行与其他金融机构间通过协议相互持有的其他一级资本</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34</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对未并表金融机构小额少数资本投资中的其他一级资本中应扣除金额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35</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对未并表金融机构大额少数资本投资中的其他一级资本中应扣除金额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36</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其他应在其他一级资本中扣除的项目合计</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37</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应从二级资本中扣除的未扣缺口</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38</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其他一级资本扣除项总和</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39</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其他一级资本净额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widowControl/>
              <w:jc w:val="right"/>
              <w:rPr>
                <w:rFonts w:ascii="宋体" w:hAnsi="宋体" w:eastAsia="宋体"/>
                <w:b/>
                <w:bCs/>
                <w:color w:val="000000"/>
                <w:szCs w:val="21"/>
              </w:rPr>
            </w:pPr>
            <w:r>
              <w:rPr>
                <w:rFonts w:hint="eastAsia" w:ascii="宋体" w:hAnsi="宋体" w:eastAsia="宋体"/>
                <w:b/>
                <w:bCs/>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40</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一级资本净额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b/>
                <w:bCs/>
                <w:color w:val="000000"/>
                <w:szCs w:val="21"/>
              </w:rPr>
            </w:pPr>
            <w:r>
              <w:rPr>
                <w:rFonts w:hint="eastAsia" w:ascii="宋体" w:hAnsi="宋体" w:eastAsia="宋体"/>
                <w:b/>
                <w:bCs/>
                <w:color w:val="000000"/>
                <w:szCs w:val="21"/>
              </w:rPr>
              <w:t xml:space="preserve">           19,606,006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060" w:type="dxa"/>
            <w:gridSpan w:val="4"/>
            <w:tcBorders>
              <w:top w:val="single" w:color="auto" w:sz="4" w:space="0"/>
              <w:left w:val="single" w:color="auto" w:sz="4" w:space="0"/>
              <w:bottom w:val="single" w:color="auto" w:sz="4" w:space="0"/>
              <w:right w:val="single" w:color="auto" w:sz="4" w:space="0"/>
            </w:tcBorders>
            <w:shd w:val="clear" w:color="000000" w:fill="E7E6E6"/>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二级资本</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41</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二级资本工具及其溢价</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1,877,521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42</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少数股东资本可计入部分</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43</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超额损失准备可计入部分</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2,143,319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tcPr>
          <w:p>
            <w:pPr>
              <w:jc w:val="center"/>
              <w:rPr>
                <w:rFonts w:ascii="宋体" w:hAnsi="宋体" w:eastAsia="宋体"/>
                <w:color w:val="000000"/>
                <w:szCs w:val="21"/>
              </w:rPr>
            </w:pPr>
            <w:r>
              <w:rPr>
                <w:rFonts w:hint="eastAsia" w:ascii="宋体" w:hAnsi="宋体" w:eastAsia="宋体"/>
                <w:color w:val="000000"/>
                <w:szCs w:val="21"/>
              </w:rPr>
              <w:t>44</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扣除前的二级资本</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4,020,840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060" w:type="dxa"/>
            <w:gridSpan w:val="4"/>
            <w:tcBorders>
              <w:top w:val="single" w:color="auto" w:sz="4" w:space="0"/>
              <w:left w:val="single" w:color="auto" w:sz="4" w:space="0"/>
              <w:bottom w:val="single" w:color="auto" w:sz="4" w:space="0"/>
              <w:right w:val="single" w:color="auto" w:sz="4" w:space="0"/>
            </w:tcBorders>
            <w:shd w:val="clear" w:color="000000" w:fill="E7E6E6"/>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二级资本：扣除项</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45</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直接或间接持有的本银行的二级资本</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46</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银行间或银行与其他金融机构间通过协议相互持有的其他一级资本</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47</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对未并表金融机构小额少数资本投资中的二级资本中应扣除金额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48</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对未并表金融机构大额少数资本投资中的二级资本</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49</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其他应在二级资本中扣除的项目合计</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50</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二级资本扣除项总和</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51</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二级资本净额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widowControl/>
              <w:jc w:val="right"/>
              <w:rPr>
                <w:rFonts w:ascii="宋体" w:hAnsi="宋体" w:eastAsia="宋体"/>
                <w:b/>
                <w:bCs/>
                <w:color w:val="000000"/>
                <w:szCs w:val="21"/>
              </w:rPr>
            </w:pPr>
            <w:r>
              <w:rPr>
                <w:rFonts w:hint="eastAsia" w:ascii="宋体" w:hAnsi="宋体" w:eastAsia="宋体"/>
                <w:b/>
                <w:bCs/>
                <w:color w:val="000000"/>
                <w:szCs w:val="21"/>
              </w:rPr>
              <w:t xml:space="preserve">            4,020,840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52</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总资本净额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b/>
                <w:bCs/>
                <w:color w:val="000000"/>
                <w:szCs w:val="21"/>
              </w:rPr>
            </w:pPr>
            <w:r>
              <w:rPr>
                <w:rFonts w:hint="eastAsia" w:ascii="宋体" w:hAnsi="宋体" w:eastAsia="宋体"/>
                <w:b/>
                <w:bCs/>
                <w:color w:val="000000"/>
                <w:szCs w:val="21"/>
              </w:rPr>
              <w:t xml:space="preserve">           23,626,846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53</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风险加权资产</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b/>
                <w:bCs/>
                <w:color w:val="000000"/>
                <w:szCs w:val="21"/>
              </w:rPr>
            </w:pPr>
            <w:r>
              <w:rPr>
                <w:rFonts w:hint="eastAsia" w:ascii="宋体" w:hAnsi="宋体" w:eastAsia="宋体"/>
                <w:b/>
                <w:bCs/>
                <w:color w:val="000000"/>
                <w:szCs w:val="21"/>
              </w:rPr>
              <w:t xml:space="preserve">          181,810,343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060" w:type="dxa"/>
            <w:gridSpan w:val="4"/>
            <w:tcBorders>
              <w:top w:val="single" w:color="auto" w:sz="4" w:space="0"/>
              <w:left w:val="single" w:color="auto" w:sz="4" w:space="0"/>
              <w:bottom w:val="single" w:color="auto" w:sz="4" w:space="0"/>
              <w:right w:val="single" w:color="auto" w:sz="4" w:space="0"/>
            </w:tcBorders>
            <w:shd w:val="clear" w:color="000000" w:fill="E7E6E6"/>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资本充足率和其他各级资本要求</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54</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核心一级资本充足率</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widowControl/>
              <w:jc w:val="right"/>
              <w:rPr>
                <w:rFonts w:ascii="宋体" w:hAnsi="宋体" w:eastAsia="宋体"/>
                <w:b/>
                <w:bCs/>
                <w:color w:val="000000"/>
                <w:szCs w:val="21"/>
              </w:rPr>
            </w:pPr>
            <w:r>
              <w:rPr>
                <w:rFonts w:hint="eastAsia" w:ascii="宋体" w:hAnsi="宋体" w:eastAsia="宋体"/>
                <w:b/>
                <w:bCs/>
                <w:color w:val="000000"/>
                <w:szCs w:val="21"/>
              </w:rPr>
              <w:t>10.78</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55</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一级资本充足率</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b/>
                <w:bCs/>
                <w:color w:val="000000"/>
                <w:szCs w:val="21"/>
              </w:rPr>
            </w:pPr>
            <w:r>
              <w:rPr>
                <w:rFonts w:hint="eastAsia" w:ascii="宋体" w:hAnsi="宋体" w:eastAsia="宋体"/>
                <w:b/>
                <w:bCs/>
                <w:color w:val="000000"/>
                <w:szCs w:val="21"/>
              </w:rPr>
              <w:t>10.78</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56</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资本充足率</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b/>
                <w:bCs/>
                <w:color w:val="000000"/>
                <w:szCs w:val="21"/>
              </w:rPr>
            </w:pPr>
            <w:r>
              <w:rPr>
                <w:rFonts w:hint="eastAsia" w:ascii="宋体" w:hAnsi="宋体" w:eastAsia="宋体"/>
                <w:b/>
                <w:bCs/>
                <w:color w:val="000000"/>
                <w:szCs w:val="21"/>
              </w:rPr>
              <w:t>13.00</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57</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其他各级资本要求（%）</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2.50</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58</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 xml:space="preserve">    其中：储备资本要求</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2.50</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59</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 xml:space="preserve">    其中：逆周期资本要求</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0.00</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60</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 xml:space="preserve">    其中：全球系统重要性银行或国内系统重要性银行附加资本要求</w:t>
            </w:r>
          </w:p>
        </w:tc>
        <w:tc>
          <w:tcPr>
            <w:tcW w:w="2800" w:type="dxa"/>
            <w:tcBorders>
              <w:top w:val="nil"/>
              <w:left w:val="nil"/>
              <w:bottom w:val="single" w:color="auto" w:sz="4" w:space="0"/>
              <w:right w:val="single" w:color="auto" w:sz="4" w:space="0"/>
            </w:tcBorders>
            <w:shd w:val="clear" w:color="000000" w:fill="E7E6E6"/>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61</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满足最低资本要求后的可用核心一级资本净额占风险加权资产的比例（%）</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b/>
                <w:bCs/>
                <w:color w:val="000000"/>
                <w:szCs w:val="21"/>
              </w:rPr>
            </w:pPr>
            <w:r>
              <w:rPr>
                <w:rFonts w:hint="eastAsia" w:ascii="宋体" w:hAnsi="宋体" w:eastAsia="宋体"/>
                <w:b/>
                <w:bCs/>
                <w:color w:val="000000"/>
                <w:szCs w:val="21"/>
              </w:rPr>
              <w:t>4.</w:t>
            </w:r>
            <w:r>
              <w:rPr>
                <w:rFonts w:ascii="宋体" w:hAnsi="宋体" w:eastAsia="宋体"/>
                <w:b/>
                <w:bCs/>
                <w:color w:val="000000"/>
                <w:szCs w:val="21"/>
              </w:rPr>
              <w:t>78</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060" w:type="dxa"/>
            <w:gridSpan w:val="4"/>
            <w:tcBorders>
              <w:top w:val="single" w:color="auto" w:sz="4" w:space="0"/>
              <w:left w:val="single" w:color="auto" w:sz="4" w:space="0"/>
              <w:bottom w:val="single" w:color="auto" w:sz="4" w:space="0"/>
              <w:right w:val="single" w:color="auto" w:sz="4" w:space="0"/>
            </w:tcBorders>
            <w:shd w:val="clear" w:color="000000" w:fill="E7E6E6"/>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我国最低监管资本要求</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62</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核心一级资本充足率</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5.00</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63</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一级资本充足率</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6.00</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64</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资本充足率</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8.00</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060" w:type="dxa"/>
            <w:gridSpan w:val="4"/>
            <w:tcBorders>
              <w:top w:val="single" w:color="auto" w:sz="4" w:space="0"/>
              <w:left w:val="single" w:color="auto" w:sz="4" w:space="0"/>
              <w:bottom w:val="single" w:color="auto" w:sz="4" w:space="0"/>
              <w:right w:val="single" w:color="auto" w:sz="4" w:space="0"/>
            </w:tcBorders>
            <w:shd w:val="clear" w:color="000000" w:fill="E7E6E6"/>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门槛扣除项中未扣除部分</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65</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对未并表金融机构的小额少数资本投资中未扣除部分</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150,201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66</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对未并表金融机构的大额少数资本投资中未扣除部分</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1,181,019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67</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其他依赖于银行未来盈利的净递延税资产（扣除递延税负债）</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1,759,882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060" w:type="dxa"/>
            <w:gridSpan w:val="4"/>
            <w:tcBorders>
              <w:top w:val="single" w:color="auto" w:sz="4" w:space="0"/>
              <w:left w:val="single" w:color="auto" w:sz="4" w:space="0"/>
              <w:bottom w:val="single" w:color="auto" w:sz="4" w:space="0"/>
              <w:right w:val="single" w:color="auto" w:sz="4" w:space="0"/>
            </w:tcBorders>
            <w:shd w:val="clear" w:color="000000" w:fill="E7E6E6"/>
            <w:tcMar>
              <w:top w:w="15" w:type="dxa"/>
              <w:left w:w="15" w:type="dxa"/>
              <w:bottom w:w="0" w:type="dxa"/>
              <w:right w:w="15" w:type="dxa"/>
            </w:tcMar>
            <w:vAlign w:val="center"/>
          </w:tcPr>
          <w:p>
            <w:pPr>
              <w:rPr>
                <w:rFonts w:ascii="宋体" w:hAnsi="宋体" w:eastAsia="宋体"/>
                <w:b/>
                <w:bCs/>
                <w:color w:val="000000"/>
                <w:szCs w:val="21"/>
              </w:rPr>
            </w:pPr>
            <w:r>
              <w:rPr>
                <w:rFonts w:hint="eastAsia" w:ascii="宋体" w:hAnsi="宋体" w:eastAsia="宋体"/>
                <w:b/>
                <w:bCs/>
                <w:color w:val="000000"/>
                <w:szCs w:val="21"/>
              </w:rPr>
              <w:t>可计入二级资本的超额损失准备的限额</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68</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权重法下，实际计提的超额损失准备金额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2,381,414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r>
        <w:tblPrEx>
          <w:tblCellMar>
            <w:top w:w="0" w:type="dxa"/>
            <w:left w:w="0" w:type="dxa"/>
            <w:bottom w:w="0" w:type="dxa"/>
            <w:right w:w="0"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olor w:val="000000"/>
                <w:szCs w:val="21"/>
              </w:rPr>
            </w:pPr>
            <w:r>
              <w:rPr>
                <w:rFonts w:hint="eastAsia" w:ascii="宋体" w:hAnsi="宋体" w:eastAsia="宋体"/>
                <w:color w:val="000000"/>
                <w:szCs w:val="21"/>
              </w:rPr>
              <w:t>69</w:t>
            </w:r>
          </w:p>
        </w:tc>
        <w:tc>
          <w:tcPr>
            <w:tcW w:w="46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rPr>
                <w:rFonts w:ascii="宋体" w:hAnsi="宋体" w:eastAsia="宋体"/>
                <w:color w:val="000000"/>
                <w:szCs w:val="21"/>
              </w:rPr>
            </w:pPr>
            <w:r>
              <w:rPr>
                <w:rFonts w:hint="eastAsia" w:ascii="宋体" w:hAnsi="宋体" w:eastAsia="宋体"/>
                <w:color w:val="000000"/>
                <w:szCs w:val="21"/>
              </w:rPr>
              <w:t>权重法下，可计入二级资本超额损失准备的数额</w:t>
            </w:r>
          </w:p>
        </w:tc>
        <w:tc>
          <w:tcPr>
            <w:tcW w:w="28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right"/>
              <w:rPr>
                <w:rFonts w:ascii="宋体" w:hAnsi="宋体" w:eastAsia="宋体"/>
                <w:color w:val="000000"/>
                <w:szCs w:val="21"/>
              </w:rPr>
            </w:pPr>
            <w:r>
              <w:rPr>
                <w:rFonts w:hint="eastAsia" w:ascii="宋体" w:hAnsi="宋体" w:eastAsia="宋体"/>
                <w:color w:val="000000"/>
                <w:szCs w:val="21"/>
              </w:rPr>
              <w:t xml:space="preserve">                2,143,319 </w:t>
            </w:r>
          </w:p>
        </w:tc>
        <w:tc>
          <w:tcPr>
            <w:tcW w:w="158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pPr>
              <w:jc w:val="left"/>
              <w:rPr>
                <w:rFonts w:ascii="宋体" w:hAnsi="宋体" w:eastAsia="宋体"/>
                <w:color w:val="000000"/>
                <w:szCs w:val="21"/>
              </w:rPr>
            </w:pPr>
            <w:r>
              <w:rPr>
                <w:rFonts w:hint="eastAsia" w:ascii="宋体" w:hAnsi="宋体" w:eastAsia="宋体"/>
                <w:color w:val="000000"/>
                <w:szCs w:val="21"/>
              </w:rPr>
              <w:t>　</w:t>
            </w:r>
          </w:p>
        </w:tc>
      </w:tr>
    </w:tbl>
    <w:p>
      <w:pPr>
        <w:pStyle w:val="3"/>
        <w:spacing w:before="0" w:after="0"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bookmarkStart w:id="10" w:name="_Toc194311180"/>
      <w:r>
        <w:rPr>
          <w:rFonts w:hint="eastAsia" w:asciiTheme="minorEastAsia" w:hAnsiTheme="minorEastAsia" w:eastAsiaTheme="minorEastAsia"/>
          <w:sz w:val="24"/>
          <w:szCs w:val="24"/>
        </w:rPr>
        <w:t>3.3</w:t>
      </w:r>
      <w:r>
        <w:rPr>
          <w:rFonts w:asciiTheme="minorEastAsia" w:hAnsiTheme="minorEastAsia" w:eastAsiaTheme="minorEastAsia"/>
          <w:sz w:val="24"/>
          <w:szCs w:val="24"/>
        </w:rPr>
        <w:t xml:space="preserve">  </w:t>
      </w:r>
      <w:r>
        <w:rPr>
          <w:rFonts w:hint="eastAsia" w:cs="Times New Roman" w:asciiTheme="minorEastAsia" w:hAnsiTheme="minorEastAsia"/>
          <w:color w:val="000000"/>
          <w:sz w:val="24"/>
          <w:szCs w:val="24"/>
        </w:rPr>
        <w:t xml:space="preserve">CC2 </w:t>
      </w:r>
      <w:r>
        <w:rPr>
          <w:rFonts w:hint="eastAsia" w:asciiTheme="minorEastAsia" w:hAnsiTheme="minorEastAsia" w:eastAsiaTheme="minorEastAsia"/>
          <w:sz w:val="24"/>
          <w:szCs w:val="24"/>
        </w:rPr>
        <w:t>集团财务并表和监管并表下的资产负债表差异</w:t>
      </w:r>
      <w:bookmarkEnd w:id="10"/>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下表列示本公司财务并表和监管并表下的资产负债表，以及资产负债表与表格CC1披露的资本构成之间的关系。</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表格CC2：集团财务并表和监管并表下的资产负债表差异</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w:t>
      </w:r>
    </w:p>
    <w:tbl>
      <w:tblPr>
        <w:tblStyle w:val="11"/>
        <w:tblW w:w="10320" w:type="dxa"/>
        <w:jc w:val="center"/>
        <w:tblLayout w:type="autofit"/>
        <w:tblCellMar>
          <w:top w:w="0" w:type="dxa"/>
          <w:left w:w="108" w:type="dxa"/>
          <w:bottom w:w="0" w:type="dxa"/>
          <w:right w:w="108" w:type="dxa"/>
        </w:tblCellMar>
      </w:tblPr>
      <w:tblGrid>
        <w:gridCol w:w="1080"/>
        <w:gridCol w:w="4320"/>
        <w:gridCol w:w="1900"/>
        <w:gridCol w:w="1900"/>
        <w:gridCol w:w="1120"/>
      </w:tblGrid>
      <w:tr>
        <w:tblPrEx>
          <w:tblCellMar>
            <w:top w:w="0" w:type="dxa"/>
            <w:left w:w="108" w:type="dxa"/>
            <w:bottom w:w="0" w:type="dxa"/>
            <w:right w:w="108" w:type="dxa"/>
          </w:tblCellMar>
        </w:tblPrEx>
        <w:trPr>
          <w:trHeight w:val="270" w:hRule="atLeast"/>
          <w:tblHeader/>
          <w:jc w:val="center"/>
        </w:trPr>
        <w:tc>
          <w:tcPr>
            <w:tcW w:w="540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1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1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c>
          <w:tcPr>
            <w:tcW w:w="11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c</w:t>
            </w:r>
          </w:p>
        </w:tc>
      </w:tr>
      <w:tr>
        <w:tblPrEx>
          <w:tblCellMar>
            <w:top w:w="0" w:type="dxa"/>
            <w:left w:w="108" w:type="dxa"/>
            <w:bottom w:w="0" w:type="dxa"/>
            <w:right w:w="108" w:type="dxa"/>
          </w:tblCellMar>
        </w:tblPrEx>
        <w:trPr>
          <w:trHeight w:val="270" w:hRule="atLeast"/>
          <w:tblHeader/>
          <w:jc w:val="center"/>
        </w:trPr>
        <w:tc>
          <w:tcPr>
            <w:tcW w:w="54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492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2024年12月31日</w:t>
            </w:r>
          </w:p>
        </w:tc>
      </w:tr>
      <w:tr>
        <w:tblPrEx>
          <w:tblCellMar>
            <w:top w:w="0" w:type="dxa"/>
            <w:left w:w="108" w:type="dxa"/>
            <w:bottom w:w="0" w:type="dxa"/>
            <w:right w:w="108" w:type="dxa"/>
          </w:tblCellMar>
        </w:tblPrEx>
        <w:trPr>
          <w:trHeight w:val="510" w:hRule="atLeast"/>
          <w:tblHeader/>
          <w:jc w:val="center"/>
        </w:trPr>
        <w:tc>
          <w:tcPr>
            <w:tcW w:w="54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财务并表范围下的资产负债表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监管并表范围下的资产负债表</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代码</w:t>
            </w:r>
          </w:p>
        </w:tc>
      </w:tr>
      <w:tr>
        <w:tblPrEx>
          <w:tblCellMar>
            <w:top w:w="0" w:type="dxa"/>
            <w:left w:w="108" w:type="dxa"/>
            <w:bottom w:w="0" w:type="dxa"/>
            <w:right w:w="108" w:type="dxa"/>
          </w:tblCellMar>
        </w:tblPrEx>
        <w:trPr>
          <w:trHeight w:val="270" w:hRule="atLeast"/>
          <w:jc w:val="center"/>
        </w:trPr>
        <w:tc>
          <w:tcPr>
            <w:tcW w:w="10320"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资产</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现金及存放中央银行款项</w:t>
            </w:r>
          </w:p>
        </w:tc>
        <w:tc>
          <w:tcPr>
            <w:tcW w:w="19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12,141,699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12,141,699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存放同业款项</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3,445,256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3,445,256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拆出资金</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1,109,713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1,109,713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衍生金融资产</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买入返售金融资产</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10,528,342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10,528,342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发放贷款和垫款</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184,527,361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184,527,361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金融投资</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53,574,014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53,574,014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4320"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ascii="宋体" w:hAnsi="宋体" w:eastAsia="宋体" w:cs="宋体"/>
                <w:color w:val="000000"/>
                <w:kern w:val="0"/>
                <w:szCs w:val="21"/>
              </w:rPr>
            </w:pPr>
            <w:r>
              <w:rPr>
                <w:rFonts w:hint="eastAsia" w:ascii="宋体" w:hAnsi="宋体" w:eastAsia="宋体" w:cs="宋体"/>
                <w:color w:val="000000"/>
                <w:kern w:val="0"/>
                <w:szCs w:val="21"/>
              </w:rPr>
              <w:t>其中：交易性金融资产</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1,245,082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1,245,082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4320"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ascii="宋体" w:hAnsi="宋体" w:eastAsia="宋体" w:cs="宋体"/>
                <w:color w:val="000000"/>
                <w:kern w:val="0"/>
                <w:szCs w:val="21"/>
              </w:rPr>
            </w:pPr>
            <w:r>
              <w:rPr>
                <w:rFonts w:hint="eastAsia" w:ascii="宋体" w:hAnsi="宋体" w:eastAsia="宋体" w:cs="宋体"/>
                <w:color w:val="000000"/>
                <w:kern w:val="0"/>
                <w:szCs w:val="21"/>
              </w:rPr>
              <w:t>其中：债权投资</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12,295,716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12,295,716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4320"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ascii="宋体" w:hAnsi="宋体" w:eastAsia="宋体" w:cs="宋体"/>
                <w:color w:val="000000"/>
                <w:kern w:val="0"/>
                <w:szCs w:val="21"/>
              </w:rPr>
            </w:pPr>
            <w:r>
              <w:rPr>
                <w:rFonts w:hint="eastAsia" w:ascii="宋体" w:hAnsi="宋体" w:eastAsia="宋体" w:cs="宋体"/>
                <w:color w:val="000000"/>
                <w:kern w:val="0"/>
                <w:szCs w:val="21"/>
              </w:rPr>
              <w:t>其中：其他债权投资</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40,032,616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40,032,616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4320"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ascii="宋体" w:hAnsi="宋体" w:eastAsia="宋体" w:cs="宋体"/>
                <w:color w:val="000000"/>
                <w:kern w:val="0"/>
                <w:szCs w:val="21"/>
              </w:rPr>
            </w:pPr>
            <w:r>
              <w:rPr>
                <w:rFonts w:hint="eastAsia" w:ascii="宋体" w:hAnsi="宋体" w:eastAsia="宋体" w:cs="宋体"/>
                <w:color w:val="000000"/>
                <w:kern w:val="0"/>
                <w:szCs w:val="21"/>
              </w:rPr>
              <w:t>其中：其他权益工具投资</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600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600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长期股权投资</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1,241,950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1,241,950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固定资产</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1,031,857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1,031,857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在建工程</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38,213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38,213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使用权资产</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145,541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145,541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商誉</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无形资产</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116,961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116,961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4320"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ascii="宋体" w:hAnsi="宋体" w:eastAsia="宋体" w:cs="宋体"/>
                <w:color w:val="000000"/>
                <w:kern w:val="0"/>
                <w:szCs w:val="21"/>
              </w:rPr>
            </w:pPr>
            <w:r>
              <w:rPr>
                <w:rFonts w:hint="eastAsia" w:ascii="宋体" w:hAnsi="宋体" w:eastAsia="宋体" w:cs="宋体"/>
                <w:color w:val="000000"/>
                <w:kern w:val="0"/>
                <w:szCs w:val="21"/>
              </w:rPr>
              <w:t>其中：土地使用权</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65,651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65,651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4320"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ascii="宋体" w:hAnsi="宋体" w:eastAsia="宋体" w:cs="宋体"/>
                <w:color w:val="000000"/>
                <w:kern w:val="0"/>
                <w:szCs w:val="21"/>
              </w:rPr>
            </w:pPr>
            <w:r>
              <w:rPr>
                <w:rFonts w:hint="eastAsia" w:ascii="宋体" w:hAnsi="宋体" w:eastAsia="宋体" w:cs="宋体"/>
                <w:color w:val="000000"/>
                <w:kern w:val="0"/>
                <w:szCs w:val="21"/>
              </w:rPr>
              <w:t>其中：其他无形资产</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51,310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51,310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递延所得税资产</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1,850,679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1,850,679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其他资产</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192,625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192,625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22</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资产合计</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269,944,211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269,944,211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320"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负债</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向中央银行借款</w:t>
            </w:r>
          </w:p>
        </w:tc>
        <w:tc>
          <w:tcPr>
            <w:tcW w:w="19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5,988,920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5,988,920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同业及其他金融机构存放款项</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827,711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827,711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拆入资金</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4,342,790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4,342,790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卖出回购金融资产款</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5,616,445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5,616,445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吸收存款</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215,297,447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215,297,447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应付债券</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16,521,948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16,521,948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应付职工薪酬</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142,332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142,332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应交税费</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253,142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253,142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租赁负债</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148,797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148,797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递延所得税负债</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196,980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196,980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w:t>
            </w:r>
          </w:p>
        </w:tc>
        <w:tc>
          <w:tcPr>
            <w:tcW w:w="4320"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ascii="宋体" w:hAnsi="宋体" w:eastAsia="宋体" w:cs="宋体"/>
                <w:color w:val="000000"/>
                <w:kern w:val="0"/>
                <w:szCs w:val="21"/>
              </w:rPr>
            </w:pPr>
            <w:r>
              <w:rPr>
                <w:rFonts w:hint="eastAsia" w:ascii="宋体" w:hAnsi="宋体" w:eastAsia="宋体" w:cs="宋体"/>
                <w:color w:val="000000"/>
                <w:kern w:val="0"/>
                <w:szCs w:val="21"/>
              </w:rPr>
              <w:t>其中：与商誉相关的递延所得税负债</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c</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w:t>
            </w:r>
          </w:p>
        </w:tc>
        <w:tc>
          <w:tcPr>
            <w:tcW w:w="4320"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ascii="宋体" w:hAnsi="宋体" w:eastAsia="宋体" w:cs="宋体"/>
                <w:color w:val="000000"/>
                <w:kern w:val="0"/>
                <w:szCs w:val="21"/>
              </w:rPr>
            </w:pPr>
            <w:r>
              <w:rPr>
                <w:rFonts w:hint="eastAsia" w:ascii="宋体" w:hAnsi="宋体" w:eastAsia="宋体" w:cs="宋体"/>
                <w:color w:val="000000"/>
                <w:kern w:val="0"/>
                <w:szCs w:val="21"/>
              </w:rPr>
              <w:t>其中：与无形资产相关的递延所得税负债</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d</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预计负债</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85,555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85,555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其他负债</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585,984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585,984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37</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负债合计</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250,008,051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250,008,051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320" w:type="dxa"/>
            <w:gridSpan w:val="5"/>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股东权益</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股本</w:t>
            </w:r>
          </w:p>
        </w:tc>
        <w:tc>
          <w:tcPr>
            <w:tcW w:w="190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3,660,983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3,660,983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e</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其他权益工具</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329,638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329,638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w:t>
            </w:r>
          </w:p>
        </w:tc>
        <w:tc>
          <w:tcPr>
            <w:tcW w:w="4320"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ascii="宋体" w:hAnsi="宋体" w:eastAsia="宋体" w:cs="宋体"/>
                <w:color w:val="000000"/>
                <w:kern w:val="0"/>
                <w:szCs w:val="21"/>
              </w:rPr>
            </w:pPr>
            <w:r>
              <w:rPr>
                <w:rFonts w:hint="eastAsia" w:ascii="宋体" w:hAnsi="宋体" w:eastAsia="宋体" w:cs="宋体"/>
                <w:color w:val="000000"/>
                <w:kern w:val="0"/>
                <w:szCs w:val="21"/>
              </w:rPr>
              <w:t>其中：优先股</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        永续债</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资本公积</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2,977,408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2,977,408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g</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其他综合收益</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624,719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624,719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盈余公积</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3,137,096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3,137,096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h</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一般风险准备</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6,092,468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6,092,468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i</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未分配利润</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3,113,848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3,113,848 </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j</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少数股东权益</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color w:val="000000"/>
                <w:szCs w:val="21"/>
              </w:rPr>
            </w:pPr>
            <w:r>
              <w:rPr>
                <w:rFonts w:hint="eastAsia" w:ascii="宋体" w:hAnsi="宋体" w:eastAsia="宋体"/>
                <w:color w:val="000000"/>
                <w:szCs w:val="21"/>
              </w:rPr>
              <w:t xml:space="preserve">             -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48</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股东权益合计</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19,936,160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19,936,160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49</w:t>
            </w:r>
          </w:p>
        </w:tc>
        <w:tc>
          <w:tcPr>
            <w:tcW w:w="43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负债和股东权益总计</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269,944,211 </w:t>
            </w:r>
          </w:p>
        </w:tc>
        <w:tc>
          <w:tcPr>
            <w:tcW w:w="1900" w:type="dxa"/>
            <w:tcBorders>
              <w:top w:val="nil"/>
              <w:left w:val="nil"/>
              <w:bottom w:val="single" w:color="auto" w:sz="4" w:space="0"/>
              <w:right w:val="single" w:color="auto" w:sz="4" w:space="0"/>
            </w:tcBorders>
            <w:shd w:val="clear" w:color="auto" w:fill="auto"/>
            <w:vAlign w:val="center"/>
          </w:tcPr>
          <w:p>
            <w:pPr>
              <w:jc w:val="right"/>
              <w:rPr>
                <w:rFonts w:ascii="宋体" w:hAnsi="宋体" w:eastAsia="宋体"/>
                <w:b/>
                <w:bCs/>
                <w:color w:val="000000"/>
                <w:szCs w:val="21"/>
              </w:rPr>
            </w:pPr>
            <w:r>
              <w:rPr>
                <w:rFonts w:hint="eastAsia" w:ascii="宋体" w:hAnsi="宋体" w:eastAsia="宋体"/>
                <w:b/>
                <w:bCs/>
                <w:color w:val="000000"/>
                <w:szCs w:val="21"/>
              </w:rPr>
              <w:t xml:space="preserve">   269,944,211 </w:t>
            </w:r>
          </w:p>
        </w:tc>
        <w:tc>
          <w:tcPr>
            <w:tcW w:w="11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w:t>
            </w:r>
          </w:p>
        </w:tc>
      </w:tr>
    </w:tbl>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pStyle w:val="2"/>
        <w:spacing w:before="0" w:after="0" w:line="360" w:lineRule="auto"/>
        <w:rPr>
          <w:rFonts w:asciiTheme="minorEastAsia" w:hAnsiTheme="minorEastAsia"/>
          <w:sz w:val="28"/>
          <w:szCs w:val="24"/>
        </w:rPr>
      </w:pPr>
      <w:bookmarkStart w:id="11" w:name="_Toc194311181"/>
      <w:r>
        <w:rPr>
          <w:rFonts w:asciiTheme="minorEastAsia" w:hAnsiTheme="minorEastAsia"/>
          <w:sz w:val="28"/>
          <w:szCs w:val="24"/>
        </w:rPr>
        <w:t xml:space="preserve">4  </w:t>
      </w:r>
      <w:r>
        <w:rPr>
          <w:rFonts w:hint="eastAsia" w:asciiTheme="minorEastAsia" w:hAnsiTheme="minorEastAsia"/>
          <w:sz w:val="28"/>
          <w:szCs w:val="24"/>
        </w:rPr>
        <w:t>杠杆率</w:t>
      </w:r>
      <w:bookmarkEnd w:id="11"/>
    </w:p>
    <w:p>
      <w:pPr>
        <w:pStyle w:val="3"/>
        <w:spacing w:before="0" w:after="0" w:line="360" w:lineRule="auto"/>
        <w:rPr>
          <w:rFonts w:asciiTheme="minorEastAsia" w:hAnsiTheme="minorEastAsia" w:eastAsiaTheme="minorEastAsia"/>
          <w:sz w:val="24"/>
          <w:szCs w:val="24"/>
        </w:rPr>
      </w:pPr>
      <w:bookmarkStart w:id="12" w:name="_Toc194311182"/>
      <w:r>
        <w:rPr>
          <w:rFonts w:hint="eastAsia" w:asciiTheme="minorEastAsia" w:hAnsiTheme="minorEastAsia" w:eastAsiaTheme="minorEastAsia"/>
          <w:sz w:val="24"/>
          <w:szCs w:val="24"/>
        </w:rPr>
        <w:t>4.1</w:t>
      </w:r>
      <w:r>
        <w:rPr>
          <w:rFonts w:asciiTheme="minorEastAsia" w:hAnsiTheme="minorEastAsia" w:eastAsiaTheme="minorEastAsia"/>
          <w:sz w:val="24"/>
          <w:szCs w:val="24"/>
        </w:rPr>
        <w:t xml:space="preserve">  </w:t>
      </w:r>
      <w:r>
        <w:rPr>
          <w:rFonts w:hint="eastAsia" w:cs="Times New Roman" w:asciiTheme="minorEastAsia" w:hAnsiTheme="minorEastAsia"/>
          <w:color w:val="000000"/>
          <w:sz w:val="24"/>
          <w:szCs w:val="24"/>
        </w:rPr>
        <w:t xml:space="preserve">LR1 </w:t>
      </w:r>
      <w:r>
        <w:rPr>
          <w:rFonts w:hint="eastAsia" w:asciiTheme="minorEastAsia" w:hAnsiTheme="minorEastAsia" w:eastAsiaTheme="minorEastAsia"/>
          <w:sz w:val="24"/>
          <w:szCs w:val="24"/>
        </w:rPr>
        <w:t>杠杆率监管项目与相关会计项目的差异</w:t>
      </w:r>
      <w:bookmarkEnd w:id="12"/>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下表列示本公司资产负债表中的总资产和杠杆率调整后的表内外资产余额的对比关系。</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表格LR1：杠杆率监管项目与相关会计项目的差异</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w:t>
      </w:r>
    </w:p>
    <w:tbl>
      <w:tblPr>
        <w:tblStyle w:val="11"/>
        <w:tblW w:w="9860" w:type="dxa"/>
        <w:jc w:val="center"/>
        <w:tblLayout w:type="autofit"/>
        <w:tblCellMar>
          <w:top w:w="0" w:type="dxa"/>
          <w:left w:w="108" w:type="dxa"/>
          <w:bottom w:w="0" w:type="dxa"/>
          <w:right w:w="108" w:type="dxa"/>
        </w:tblCellMar>
      </w:tblPr>
      <w:tblGrid>
        <w:gridCol w:w="1080"/>
        <w:gridCol w:w="5620"/>
        <w:gridCol w:w="3160"/>
      </w:tblGrid>
      <w:tr>
        <w:tblPrEx>
          <w:tblCellMar>
            <w:top w:w="0" w:type="dxa"/>
            <w:left w:w="108" w:type="dxa"/>
            <w:bottom w:w="0" w:type="dxa"/>
            <w:right w:w="108" w:type="dxa"/>
          </w:tblCellMar>
        </w:tblPrEx>
        <w:trPr>
          <w:trHeight w:val="270" w:hRule="atLeast"/>
          <w:tblHeader/>
          <w:jc w:val="center"/>
        </w:trPr>
        <w:tc>
          <w:tcPr>
            <w:tcW w:w="670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31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r>
      <w:tr>
        <w:tblPrEx>
          <w:tblCellMar>
            <w:top w:w="0" w:type="dxa"/>
            <w:left w:w="108" w:type="dxa"/>
            <w:bottom w:w="0" w:type="dxa"/>
            <w:right w:w="108" w:type="dxa"/>
          </w:tblCellMar>
        </w:tblPrEx>
        <w:trPr>
          <w:trHeight w:val="270" w:hRule="atLeast"/>
          <w:tblHeader/>
          <w:jc w:val="center"/>
        </w:trPr>
        <w:tc>
          <w:tcPr>
            <w:tcW w:w="67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3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2024年12月31日</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并表总资产</w:t>
            </w:r>
          </w:p>
        </w:tc>
        <w:tc>
          <w:tcPr>
            <w:tcW w:w="316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269,944,211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并表调整项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客户资产调整项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衍生工具调整项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21,851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258,411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表外项目调整项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31,203,671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资产证券化交易调整项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未结算金融资产调整项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现金池调整项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存款准备金调整项（如有）</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审慎估值和减值准备调整项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其他调整项</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-203,039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13</w:t>
            </w:r>
          </w:p>
        </w:tc>
        <w:tc>
          <w:tcPr>
            <w:tcW w:w="56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调整后表内外资产余额</w:t>
            </w:r>
          </w:p>
        </w:tc>
        <w:tc>
          <w:tcPr>
            <w:tcW w:w="316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b/>
                <w:bCs/>
                <w:color w:val="000000"/>
                <w:szCs w:val="21"/>
              </w:rPr>
            </w:pPr>
            <w:r>
              <w:rPr>
                <w:rFonts w:hint="eastAsia" w:ascii="宋体" w:hAnsi="宋体" w:eastAsia="宋体"/>
                <w:b/>
                <w:bCs/>
                <w:color w:val="000000"/>
                <w:szCs w:val="21"/>
              </w:rPr>
              <w:t xml:space="preserve">             301,225,105 </w:t>
            </w:r>
          </w:p>
        </w:tc>
      </w:tr>
    </w:tbl>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p>
      <w:pPr>
        <w:pStyle w:val="3"/>
        <w:spacing w:before="0" w:after="0" w:line="360" w:lineRule="auto"/>
        <w:rPr>
          <w:rFonts w:asciiTheme="minorEastAsia" w:hAnsiTheme="minorEastAsia" w:eastAsiaTheme="minorEastAsia"/>
          <w:sz w:val="24"/>
          <w:szCs w:val="24"/>
        </w:rPr>
      </w:pPr>
      <w:bookmarkStart w:id="13" w:name="_Toc194311183"/>
      <w:r>
        <w:rPr>
          <w:rFonts w:hint="eastAsia" w:asciiTheme="minorEastAsia" w:hAnsiTheme="minorEastAsia" w:eastAsiaTheme="minorEastAsia"/>
          <w:sz w:val="24"/>
          <w:szCs w:val="24"/>
        </w:rPr>
        <w:t>4.</w:t>
      </w:r>
      <w:r>
        <w:rPr>
          <w:rFonts w:asciiTheme="minorEastAsia" w:hAnsiTheme="minorEastAsia" w:eastAsiaTheme="minorEastAsia"/>
          <w:sz w:val="24"/>
          <w:szCs w:val="24"/>
        </w:rPr>
        <w:t xml:space="preserve">2  </w:t>
      </w:r>
      <w:r>
        <w:rPr>
          <w:rFonts w:hint="eastAsia" w:cs="Times New Roman" w:asciiTheme="minorEastAsia" w:hAnsiTheme="minorEastAsia"/>
          <w:color w:val="000000"/>
          <w:sz w:val="24"/>
          <w:szCs w:val="24"/>
        </w:rPr>
        <w:t xml:space="preserve">LR2 </w:t>
      </w:r>
      <w:r>
        <w:rPr>
          <w:rFonts w:hint="eastAsia" w:asciiTheme="minorEastAsia" w:hAnsiTheme="minorEastAsia" w:eastAsiaTheme="minorEastAsia"/>
          <w:sz w:val="24"/>
          <w:szCs w:val="24"/>
        </w:rPr>
        <w:t>杠杆率</w:t>
      </w:r>
      <w:bookmarkEnd w:id="13"/>
    </w:p>
    <w:p>
      <w:pPr>
        <w:spacing w:line="360" w:lineRule="auto"/>
        <w:ind w:firstLine="480" w:firstLineChars="20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下表列示本公司杠杆率分母的组成明细以及实际杠杆率、最低杠杆率要求和附加杠杆率要求等相关信息。</w:t>
      </w:r>
    </w:p>
    <w:p>
      <w:pPr>
        <w:spacing w:line="360" w:lineRule="auto"/>
        <w:ind w:firstLine="482" w:firstLineChars="200"/>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表格LR2：杠杆率</w:t>
      </w:r>
    </w:p>
    <w:p>
      <w:pPr>
        <w:spacing w:line="360" w:lineRule="auto"/>
        <w:ind w:firstLine="480" w:firstLineChars="200"/>
        <w:jc w:val="righ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单位：人民币千元，百分比除外</w:t>
      </w:r>
    </w:p>
    <w:tbl>
      <w:tblPr>
        <w:tblStyle w:val="11"/>
        <w:tblW w:w="9600" w:type="dxa"/>
        <w:jc w:val="center"/>
        <w:tblLayout w:type="autofit"/>
        <w:tblCellMar>
          <w:top w:w="0" w:type="dxa"/>
          <w:left w:w="108" w:type="dxa"/>
          <w:bottom w:w="0" w:type="dxa"/>
          <w:right w:w="108" w:type="dxa"/>
        </w:tblCellMar>
      </w:tblPr>
      <w:tblGrid>
        <w:gridCol w:w="1080"/>
        <w:gridCol w:w="4240"/>
        <w:gridCol w:w="2140"/>
        <w:gridCol w:w="2140"/>
      </w:tblGrid>
      <w:tr>
        <w:tblPrEx>
          <w:tblCellMar>
            <w:top w:w="0" w:type="dxa"/>
            <w:left w:w="108" w:type="dxa"/>
            <w:bottom w:w="0" w:type="dxa"/>
            <w:right w:w="108" w:type="dxa"/>
          </w:tblCellMar>
        </w:tblPrEx>
        <w:trPr>
          <w:trHeight w:val="270" w:hRule="atLeast"/>
          <w:tblHeader/>
          <w:jc w:val="center"/>
        </w:trPr>
        <w:tc>
          <w:tcPr>
            <w:tcW w:w="532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　</w:t>
            </w:r>
          </w:p>
        </w:tc>
        <w:tc>
          <w:tcPr>
            <w:tcW w:w="21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a</w:t>
            </w:r>
          </w:p>
        </w:tc>
        <w:tc>
          <w:tcPr>
            <w:tcW w:w="21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b</w:t>
            </w:r>
          </w:p>
        </w:tc>
      </w:tr>
      <w:tr>
        <w:tblPrEx>
          <w:tblCellMar>
            <w:top w:w="0" w:type="dxa"/>
            <w:left w:w="108" w:type="dxa"/>
            <w:bottom w:w="0" w:type="dxa"/>
            <w:right w:w="108" w:type="dxa"/>
          </w:tblCellMar>
        </w:tblPrEx>
        <w:trPr>
          <w:trHeight w:val="270" w:hRule="atLeast"/>
          <w:tblHeader/>
          <w:jc w:val="center"/>
        </w:trPr>
        <w:tc>
          <w:tcPr>
            <w:tcW w:w="53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Cs w:val="21"/>
              </w:rPr>
            </w:pP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2024年12月31日</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2024年9月30日</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表内资产余额</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表内资产（除衍生工具和证券融资交易外）</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264,605,573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260,381,194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减：减值准备</w:t>
            </w:r>
          </w:p>
        </w:tc>
        <w:tc>
          <w:tcPr>
            <w:tcW w:w="214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-5,189,703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-6,140,328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减：一级资本扣除项</w:t>
            </w:r>
          </w:p>
        </w:tc>
        <w:tc>
          <w:tcPr>
            <w:tcW w:w="214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-203,040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-227,355 </w:t>
            </w:r>
          </w:p>
        </w:tc>
      </w:tr>
      <w:tr>
        <w:tblPrEx>
          <w:tblCellMar>
            <w:top w:w="0" w:type="dxa"/>
            <w:left w:w="108" w:type="dxa"/>
            <w:bottom w:w="0" w:type="dxa"/>
            <w:right w:w="108"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调整后的表内资产余额（衍生工具和证券融资交易除外）</w:t>
            </w:r>
          </w:p>
        </w:tc>
        <w:tc>
          <w:tcPr>
            <w:tcW w:w="214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b/>
                <w:bCs/>
                <w:color w:val="000000"/>
                <w:szCs w:val="21"/>
              </w:rPr>
            </w:pPr>
            <w:r>
              <w:rPr>
                <w:rFonts w:hint="eastAsia" w:ascii="宋体" w:hAnsi="宋体" w:eastAsia="宋体"/>
                <w:b/>
                <w:bCs/>
                <w:color w:val="000000"/>
                <w:szCs w:val="21"/>
              </w:rPr>
              <w:t xml:space="preserve">     259,212,830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color w:val="000000"/>
                <w:kern w:val="0"/>
                <w:szCs w:val="21"/>
              </w:rPr>
            </w:pPr>
            <w:r>
              <w:rPr>
                <w:rFonts w:hint="eastAsia" w:ascii="宋体" w:hAnsi="宋体" w:eastAsia="宋体" w:cs="宋体"/>
                <w:b/>
                <w:color w:val="000000"/>
                <w:kern w:val="0"/>
                <w:szCs w:val="21"/>
              </w:rPr>
              <w:t xml:space="preserve">       254,013,511 </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衍生工具资产余额</w:t>
            </w:r>
          </w:p>
        </w:tc>
      </w:tr>
      <w:tr>
        <w:tblPrEx>
          <w:tblCellMar>
            <w:top w:w="0" w:type="dxa"/>
            <w:left w:w="108" w:type="dxa"/>
            <w:bottom w:w="0" w:type="dxa"/>
            <w:right w:w="108"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各类衍生工具的重置成本（扣除合格保证金，考虑双边净额结算协议的影响）</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4,375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1,467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各类衍生工具的潜在风险暴露</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17,476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68,682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已从资产负债表中扣除的抵质押品总和</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减：因提供合格保证金形成的应收资产</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减：为客户提供清算服务时与中央交易对手交易形成的衍生工具资产余额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卖出信用衍生工具的名义本金</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减：可扣除的卖出信用衍生工具资产余额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衍生工具资产余额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color w:val="000000"/>
                <w:kern w:val="0"/>
                <w:szCs w:val="21"/>
              </w:rPr>
            </w:pPr>
            <w:r>
              <w:rPr>
                <w:rFonts w:hint="eastAsia" w:ascii="宋体" w:hAnsi="宋体" w:eastAsia="宋体" w:cs="宋体"/>
                <w:b/>
                <w:color w:val="000000"/>
                <w:kern w:val="0"/>
                <w:szCs w:val="21"/>
              </w:rPr>
              <w:t xml:space="preserve">            21,851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color w:val="000000"/>
                <w:kern w:val="0"/>
                <w:szCs w:val="21"/>
              </w:rPr>
            </w:pPr>
            <w:r>
              <w:rPr>
                <w:rFonts w:hint="eastAsia" w:ascii="宋体" w:hAnsi="宋体" w:eastAsia="宋体" w:cs="宋体"/>
                <w:b/>
                <w:color w:val="000000"/>
                <w:kern w:val="0"/>
                <w:szCs w:val="21"/>
              </w:rPr>
              <w:t xml:space="preserve">            70,149 </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证券融资交易资产余额</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证券融资交易的会计资产余额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10,528,342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16,721,202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减：可以扣除的证券融资交易资产余额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证券融资交易的交易对手信用风险暴露</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258,411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649,155 </w:t>
            </w:r>
          </w:p>
        </w:tc>
      </w:tr>
      <w:tr>
        <w:tblPrEx>
          <w:tblCellMar>
            <w:top w:w="0" w:type="dxa"/>
            <w:left w:w="108" w:type="dxa"/>
            <w:bottom w:w="0" w:type="dxa"/>
            <w:right w:w="108" w:type="dxa"/>
          </w:tblCellMar>
        </w:tblPrEx>
        <w:trPr>
          <w:trHeight w:val="51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代理证券融资交易形成的证券融资交易资产余额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证券融资交易资产余额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color w:val="000000"/>
                <w:kern w:val="0"/>
                <w:szCs w:val="21"/>
              </w:rPr>
            </w:pPr>
            <w:r>
              <w:rPr>
                <w:rFonts w:hint="eastAsia" w:ascii="宋体" w:hAnsi="宋体" w:eastAsia="宋体" w:cs="宋体"/>
                <w:b/>
                <w:color w:val="000000"/>
                <w:kern w:val="0"/>
                <w:szCs w:val="21"/>
              </w:rPr>
              <w:t xml:space="preserve">        10,786,753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color w:val="000000"/>
                <w:kern w:val="0"/>
                <w:szCs w:val="21"/>
              </w:rPr>
            </w:pPr>
            <w:r>
              <w:rPr>
                <w:rFonts w:hint="eastAsia" w:ascii="宋体" w:hAnsi="宋体" w:eastAsia="宋体" w:cs="宋体"/>
                <w:b/>
                <w:color w:val="000000"/>
                <w:kern w:val="0"/>
                <w:szCs w:val="21"/>
              </w:rPr>
              <w:t xml:space="preserve">        17,370,357 </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 xml:space="preserve">表外项目余额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表外项目余额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48,402,235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43,544,226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减：因信用转换调整的表外项目余额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-17,113,009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-14,488,090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减：减值准备</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-85,555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-195,266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调整后的表外项目余额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color w:val="000000"/>
                <w:kern w:val="0"/>
                <w:szCs w:val="21"/>
              </w:rPr>
            </w:pPr>
            <w:r>
              <w:rPr>
                <w:rFonts w:hint="eastAsia" w:ascii="宋体" w:hAnsi="宋体" w:eastAsia="宋体" w:cs="宋体"/>
                <w:b/>
                <w:color w:val="000000"/>
                <w:kern w:val="0"/>
                <w:szCs w:val="21"/>
              </w:rPr>
              <w:t xml:space="preserve">        31,203,671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b/>
                <w:color w:val="000000"/>
                <w:kern w:val="0"/>
                <w:szCs w:val="21"/>
              </w:rPr>
            </w:pPr>
            <w:r>
              <w:rPr>
                <w:rFonts w:hint="eastAsia" w:ascii="宋体" w:hAnsi="宋体" w:eastAsia="宋体" w:cs="宋体"/>
                <w:b/>
                <w:color w:val="000000"/>
                <w:kern w:val="0"/>
                <w:szCs w:val="21"/>
              </w:rPr>
              <w:t xml:space="preserve">        28,860,870 </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一级资本净额和调整后表内外资产余额</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一级资本净额</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olor w:val="000000"/>
                <w:szCs w:val="21"/>
              </w:rPr>
            </w:pPr>
            <w:r>
              <w:rPr>
                <w:rFonts w:hint="eastAsia" w:ascii="宋体" w:hAnsi="宋体" w:eastAsia="宋体"/>
                <w:color w:val="000000"/>
                <w:szCs w:val="21"/>
              </w:rPr>
              <w:t xml:space="preserve">        19,606,006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19,377,459 </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调整后表内外资产余额</w:t>
            </w:r>
          </w:p>
        </w:tc>
        <w:tc>
          <w:tcPr>
            <w:tcW w:w="2140"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olor w:val="000000"/>
                <w:szCs w:val="21"/>
              </w:rPr>
            </w:pPr>
            <w:r>
              <w:rPr>
                <w:rFonts w:hint="eastAsia" w:ascii="宋体" w:hAnsi="宋体" w:eastAsia="宋体"/>
                <w:color w:val="000000"/>
                <w:szCs w:val="21"/>
              </w:rPr>
              <w:t xml:space="preserve">       301,225,105 </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 xml:space="preserve">       300,314,887 </w:t>
            </w:r>
          </w:p>
        </w:tc>
      </w:tr>
      <w:tr>
        <w:tblPrEx>
          <w:tblCellMar>
            <w:top w:w="0" w:type="dxa"/>
            <w:left w:w="108" w:type="dxa"/>
            <w:bottom w:w="0" w:type="dxa"/>
            <w:right w:w="108" w:type="dxa"/>
          </w:tblCellMar>
        </w:tblPrEx>
        <w:trPr>
          <w:trHeight w:val="270" w:hRule="atLeast"/>
          <w:jc w:val="center"/>
        </w:trPr>
        <w:tc>
          <w:tcPr>
            <w:tcW w:w="9600" w:type="dxa"/>
            <w:gridSpan w:val="4"/>
            <w:tcBorders>
              <w:top w:val="single" w:color="auto" w:sz="4" w:space="0"/>
              <w:left w:val="single" w:color="auto" w:sz="4" w:space="0"/>
              <w:bottom w:val="single" w:color="auto" w:sz="4" w:space="0"/>
              <w:right w:val="single" w:color="auto" w:sz="4" w:space="0"/>
            </w:tcBorders>
            <w:shd w:val="clear" w:color="000000" w:fill="E7E6E6"/>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杠杆率</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杠杆率</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w:t>
            </w:r>
            <w:r>
              <w:rPr>
                <w:rFonts w:ascii="宋体" w:hAnsi="宋体" w:eastAsia="宋体" w:cs="宋体"/>
                <w:color w:val="000000"/>
                <w:kern w:val="0"/>
                <w:szCs w:val="21"/>
              </w:rPr>
              <w:t>51</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24a</w:t>
            </w:r>
          </w:p>
        </w:tc>
        <w:tc>
          <w:tcPr>
            <w:tcW w:w="4240"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杠杆率a</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w:t>
            </w:r>
            <w:r>
              <w:rPr>
                <w:rFonts w:ascii="宋体" w:hAnsi="宋体" w:eastAsia="宋体" w:cs="宋体"/>
                <w:color w:val="000000"/>
                <w:kern w:val="0"/>
                <w:szCs w:val="21"/>
              </w:rPr>
              <w:t>51</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6.45</w:t>
            </w:r>
          </w:p>
        </w:tc>
      </w:tr>
      <w:tr>
        <w:tblPrEx>
          <w:tblCellMar>
            <w:top w:w="0" w:type="dxa"/>
            <w:left w:w="108" w:type="dxa"/>
            <w:bottom w:w="0" w:type="dxa"/>
            <w:right w:w="108" w:type="dxa"/>
          </w:tblCellMar>
        </w:tblPrEx>
        <w:trPr>
          <w:trHeight w:val="27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w:t>
            </w:r>
          </w:p>
        </w:tc>
        <w:tc>
          <w:tcPr>
            <w:tcW w:w="42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最低杠杆率要求</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4.00</w:t>
            </w:r>
          </w:p>
        </w:tc>
        <w:tc>
          <w:tcPr>
            <w:tcW w:w="2140" w:type="dxa"/>
            <w:tcBorders>
              <w:top w:val="nil"/>
              <w:left w:val="nil"/>
              <w:bottom w:val="single" w:color="auto" w:sz="4" w:space="0"/>
              <w:right w:val="single" w:color="auto" w:sz="4" w:space="0"/>
            </w:tcBorders>
            <w:shd w:val="clear" w:color="auto" w:fill="auto"/>
            <w:vAlign w:val="center"/>
          </w:tcPr>
          <w:p>
            <w:pPr>
              <w:widowControl/>
              <w:jc w:val="right"/>
              <w:rPr>
                <w:rFonts w:ascii="宋体" w:hAnsi="宋体" w:eastAsia="宋体" w:cs="宋体"/>
                <w:color w:val="000000"/>
                <w:kern w:val="0"/>
                <w:szCs w:val="21"/>
              </w:rPr>
            </w:pPr>
            <w:r>
              <w:rPr>
                <w:rFonts w:hint="eastAsia" w:ascii="宋体" w:hAnsi="宋体" w:eastAsia="宋体" w:cs="宋体"/>
                <w:color w:val="000000"/>
                <w:kern w:val="0"/>
                <w:szCs w:val="21"/>
              </w:rPr>
              <w:t>4.00</w:t>
            </w:r>
          </w:p>
        </w:tc>
      </w:tr>
    </w:tbl>
    <w:p>
      <w:pPr>
        <w:spacing w:line="360" w:lineRule="auto"/>
        <w:rPr>
          <w:rFonts w:cs="Times New Roman" w:asciiTheme="minorEastAsia" w:hAnsiTheme="minorEastAsia"/>
          <w:color w:val="000000"/>
          <w:sz w:val="24"/>
          <w:szCs w:val="24"/>
        </w:rPr>
      </w:pPr>
    </w:p>
    <w:p>
      <w:pPr>
        <w:spacing w:line="360" w:lineRule="auto"/>
        <w:rPr>
          <w:rFonts w:cs="Times New Roman" w:asciiTheme="minorEastAsia" w:hAnsiTheme="minorEastAsia"/>
          <w:color w:val="000000"/>
          <w:sz w:val="24"/>
          <w:szCs w:val="24"/>
        </w:rPr>
      </w:pPr>
    </w:p>
    <w:sectPr>
      <w:footerReference r:id="rId3" w:type="default"/>
      <w:pgSz w:w="11906" w:h="16838"/>
      <w:pgMar w:top="1247" w:right="1797" w:bottom="1247"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4141187"/>
      <w:docPartObj>
        <w:docPartGallery w:val="AutoText"/>
      </w:docPartObj>
    </w:sdtPr>
    <w:sdtEndPr>
      <w:rPr>
        <w:rFonts w:asciiTheme="minorEastAsia" w:hAnsiTheme="minorEastAsia"/>
        <w:sz w:val="24"/>
        <w:szCs w:val="24"/>
      </w:rPr>
    </w:sdtEndPr>
    <w:sdtContent>
      <w:p>
        <w:pPr>
          <w:pStyle w:val="6"/>
          <w:jc w:val="center"/>
          <w:rPr>
            <w:rFonts w:asciiTheme="minorEastAsia" w:hAnsiTheme="minorEastAsia"/>
            <w:sz w:val="24"/>
            <w:szCs w:val="24"/>
          </w:rPr>
        </w:pPr>
        <w:r>
          <w:rPr>
            <w:rFonts w:asciiTheme="minorEastAsia" w:hAnsiTheme="minorEastAsia"/>
            <w:sz w:val="24"/>
            <w:szCs w:val="24"/>
          </w:rPr>
          <w:fldChar w:fldCharType="begin"/>
        </w:r>
        <w:r>
          <w:rPr>
            <w:rFonts w:asciiTheme="minorEastAsia" w:hAnsiTheme="minorEastAsia"/>
            <w:sz w:val="24"/>
            <w:szCs w:val="24"/>
          </w:rPr>
          <w:instrText xml:space="preserve">PAGE   \* MERGEFORMAT</w:instrText>
        </w:r>
        <w:r>
          <w:rPr>
            <w:rFonts w:asciiTheme="minorEastAsia" w:hAnsiTheme="minorEastAsia"/>
            <w:sz w:val="24"/>
            <w:szCs w:val="24"/>
          </w:rPr>
          <w:fldChar w:fldCharType="separate"/>
        </w:r>
        <w:r>
          <w:rPr>
            <w:rFonts w:asciiTheme="minorEastAsia" w:hAnsiTheme="minorEastAsia"/>
            <w:sz w:val="24"/>
            <w:szCs w:val="24"/>
            <w:lang w:val="zh-CN"/>
          </w:rPr>
          <w:t>13</w:t>
        </w:r>
        <w:r>
          <w:rPr>
            <w:rFonts w:asciiTheme="minorEastAsia" w:hAnsiTheme="minorEastAsia"/>
            <w:sz w:val="24"/>
            <w:szCs w:val="24"/>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36AC1"/>
    <w:rsid w:val="00002898"/>
    <w:rsid w:val="00006131"/>
    <w:rsid w:val="0000779D"/>
    <w:rsid w:val="00011695"/>
    <w:rsid w:val="00012313"/>
    <w:rsid w:val="00015208"/>
    <w:rsid w:val="00015863"/>
    <w:rsid w:val="00015A56"/>
    <w:rsid w:val="00022586"/>
    <w:rsid w:val="00023D19"/>
    <w:rsid w:val="00024574"/>
    <w:rsid w:val="00024946"/>
    <w:rsid w:val="0002509A"/>
    <w:rsid w:val="00030DFE"/>
    <w:rsid w:val="00033530"/>
    <w:rsid w:val="000359D8"/>
    <w:rsid w:val="00035C08"/>
    <w:rsid w:val="00036D74"/>
    <w:rsid w:val="00040FC9"/>
    <w:rsid w:val="00041FC8"/>
    <w:rsid w:val="000443FC"/>
    <w:rsid w:val="000449A0"/>
    <w:rsid w:val="0004612B"/>
    <w:rsid w:val="00046240"/>
    <w:rsid w:val="00046ED7"/>
    <w:rsid w:val="000508E7"/>
    <w:rsid w:val="00050C83"/>
    <w:rsid w:val="00051EDF"/>
    <w:rsid w:val="00051FD3"/>
    <w:rsid w:val="0005327B"/>
    <w:rsid w:val="00054373"/>
    <w:rsid w:val="000567B8"/>
    <w:rsid w:val="0005707B"/>
    <w:rsid w:val="0005711A"/>
    <w:rsid w:val="00060938"/>
    <w:rsid w:val="00063F9F"/>
    <w:rsid w:val="00063FAE"/>
    <w:rsid w:val="00065116"/>
    <w:rsid w:val="000707E6"/>
    <w:rsid w:val="000719B9"/>
    <w:rsid w:val="0007255C"/>
    <w:rsid w:val="0007265D"/>
    <w:rsid w:val="0007419D"/>
    <w:rsid w:val="00074EF1"/>
    <w:rsid w:val="00076030"/>
    <w:rsid w:val="00076B4A"/>
    <w:rsid w:val="00077AF6"/>
    <w:rsid w:val="00077D54"/>
    <w:rsid w:val="0008126C"/>
    <w:rsid w:val="00082A7B"/>
    <w:rsid w:val="00082C96"/>
    <w:rsid w:val="00083059"/>
    <w:rsid w:val="00086AC4"/>
    <w:rsid w:val="00090A1A"/>
    <w:rsid w:val="00090F43"/>
    <w:rsid w:val="0009299B"/>
    <w:rsid w:val="00093B8B"/>
    <w:rsid w:val="0009484C"/>
    <w:rsid w:val="000952CD"/>
    <w:rsid w:val="000A05A1"/>
    <w:rsid w:val="000A3596"/>
    <w:rsid w:val="000A3D89"/>
    <w:rsid w:val="000A44EF"/>
    <w:rsid w:val="000A5744"/>
    <w:rsid w:val="000B0607"/>
    <w:rsid w:val="000B1038"/>
    <w:rsid w:val="000B26F4"/>
    <w:rsid w:val="000B3677"/>
    <w:rsid w:val="000B37BB"/>
    <w:rsid w:val="000B6FCC"/>
    <w:rsid w:val="000B7007"/>
    <w:rsid w:val="000B7857"/>
    <w:rsid w:val="000C0099"/>
    <w:rsid w:val="000C2F89"/>
    <w:rsid w:val="000C3CC2"/>
    <w:rsid w:val="000C3D14"/>
    <w:rsid w:val="000C568A"/>
    <w:rsid w:val="000C59DE"/>
    <w:rsid w:val="000C65DB"/>
    <w:rsid w:val="000C6818"/>
    <w:rsid w:val="000C7718"/>
    <w:rsid w:val="000D0D16"/>
    <w:rsid w:val="000D0F91"/>
    <w:rsid w:val="000D33AE"/>
    <w:rsid w:val="000D38E7"/>
    <w:rsid w:val="000D43FB"/>
    <w:rsid w:val="000D5844"/>
    <w:rsid w:val="000E18CD"/>
    <w:rsid w:val="000E3D47"/>
    <w:rsid w:val="000E4D1C"/>
    <w:rsid w:val="000E5B3B"/>
    <w:rsid w:val="000E5D09"/>
    <w:rsid w:val="000E779C"/>
    <w:rsid w:val="000F0646"/>
    <w:rsid w:val="000F1486"/>
    <w:rsid w:val="000F5959"/>
    <w:rsid w:val="000F5E93"/>
    <w:rsid w:val="0010253D"/>
    <w:rsid w:val="00104E16"/>
    <w:rsid w:val="00105D3F"/>
    <w:rsid w:val="00107DCA"/>
    <w:rsid w:val="001106CA"/>
    <w:rsid w:val="00110F7E"/>
    <w:rsid w:val="00111872"/>
    <w:rsid w:val="00112D85"/>
    <w:rsid w:val="001138C1"/>
    <w:rsid w:val="00114DCA"/>
    <w:rsid w:val="00116AE8"/>
    <w:rsid w:val="0011793D"/>
    <w:rsid w:val="00120A5B"/>
    <w:rsid w:val="00121EA8"/>
    <w:rsid w:val="001260F3"/>
    <w:rsid w:val="00126B42"/>
    <w:rsid w:val="0013355B"/>
    <w:rsid w:val="001336ED"/>
    <w:rsid w:val="001340A3"/>
    <w:rsid w:val="00134459"/>
    <w:rsid w:val="0013618C"/>
    <w:rsid w:val="00137392"/>
    <w:rsid w:val="001417E4"/>
    <w:rsid w:val="00142834"/>
    <w:rsid w:val="00143D89"/>
    <w:rsid w:val="001459DE"/>
    <w:rsid w:val="00145D3D"/>
    <w:rsid w:val="001460A3"/>
    <w:rsid w:val="0014629F"/>
    <w:rsid w:val="001465F9"/>
    <w:rsid w:val="00150C65"/>
    <w:rsid w:val="00150D9A"/>
    <w:rsid w:val="001517C2"/>
    <w:rsid w:val="00151832"/>
    <w:rsid w:val="001539C3"/>
    <w:rsid w:val="0015757A"/>
    <w:rsid w:val="00157747"/>
    <w:rsid w:val="001619CF"/>
    <w:rsid w:val="00162458"/>
    <w:rsid w:val="00162772"/>
    <w:rsid w:val="00164D31"/>
    <w:rsid w:val="001705D1"/>
    <w:rsid w:val="001709C0"/>
    <w:rsid w:val="00170E8A"/>
    <w:rsid w:val="00176945"/>
    <w:rsid w:val="00181680"/>
    <w:rsid w:val="0018348D"/>
    <w:rsid w:val="00183C67"/>
    <w:rsid w:val="00183C8D"/>
    <w:rsid w:val="00186A7D"/>
    <w:rsid w:val="00195667"/>
    <w:rsid w:val="0019650D"/>
    <w:rsid w:val="001A47E3"/>
    <w:rsid w:val="001A4CCD"/>
    <w:rsid w:val="001A5E56"/>
    <w:rsid w:val="001A7486"/>
    <w:rsid w:val="001B1CCB"/>
    <w:rsid w:val="001B2F8B"/>
    <w:rsid w:val="001B3ED9"/>
    <w:rsid w:val="001B3FDB"/>
    <w:rsid w:val="001B4164"/>
    <w:rsid w:val="001B4F17"/>
    <w:rsid w:val="001C0AB6"/>
    <w:rsid w:val="001C43AB"/>
    <w:rsid w:val="001C67DD"/>
    <w:rsid w:val="001D05AB"/>
    <w:rsid w:val="001D0A8F"/>
    <w:rsid w:val="001D135D"/>
    <w:rsid w:val="001D16D3"/>
    <w:rsid w:val="001D2B10"/>
    <w:rsid w:val="001D2C3E"/>
    <w:rsid w:val="001D2EDF"/>
    <w:rsid w:val="001D502E"/>
    <w:rsid w:val="001D569A"/>
    <w:rsid w:val="001D6D8A"/>
    <w:rsid w:val="001D7C02"/>
    <w:rsid w:val="001E111F"/>
    <w:rsid w:val="001E4A20"/>
    <w:rsid w:val="001E4E72"/>
    <w:rsid w:val="001E5128"/>
    <w:rsid w:val="001E5A2A"/>
    <w:rsid w:val="001E5B0E"/>
    <w:rsid w:val="001E5DE1"/>
    <w:rsid w:val="001F19F4"/>
    <w:rsid w:val="001F34CC"/>
    <w:rsid w:val="001F47EE"/>
    <w:rsid w:val="001F5304"/>
    <w:rsid w:val="001F60B5"/>
    <w:rsid w:val="001F640B"/>
    <w:rsid w:val="00200B39"/>
    <w:rsid w:val="002011C9"/>
    <w:rsid w:val="00202C2D"/>
    <w:rsid w:val="002066D1"/>
    <w:rsid w:val="0020743D"/>
    <w:rsid w:val="002075AF"/>
    <w:rsid w:val="00207FB9"/>
    <w:rsid w:val="00210847"/>
    <w:rsid w:val="00210A86"/>
    <w:rsid w:val="00210ADA"/>
    <w:rsid w:val="0021319E"/>
    <w:rsid w:val="00214B95"/>
    <w:rsid w:val="00214D9E"/>
    <w:rsid w:val="00216FA3"/>
    <w:rsid w:val="00220BC5"/>
    <w:rsid w:val="00221414"/>
    <w:rsid w:val="002222E3"/>
    <w:rsid w:val="0022444E"/>
    <w:rsid w:val="00224998"/>
    <w:rsid w:val="002257B2"/>
    <w:rsid w:val="00226CB6"/>
    <w:rsid w:val="00227408"/>
    <w:rsid w:val="002315A6"/>
    <w:rsid w:val="0023199D"/>
    <w:rsid w:val="00232585"/>
    <w:rsid w:val="00233AA8"/>
    <w:rsid w:val="00235190"/>
    <w:rsid w:val="00237C86"/>
    <w:rsid w:val="00242A1D"/>
    <w:rsid w:val="00242E10"/>
    <w:rsid w:val="0024380A"/>
    <w:rsid w:val="00245BC0"/>
    <w:rsid w:val="0025041A"/>
    <w:rsid w:val="00252ABC"/>
    <w:rsid w:val="00255022"/>
    <w:rsid w:val="002574ED"/>
    <w:rsid w:val="00257BA0"/>
    <w:rsid w:val="00260571"/>
    <w:rsid w:val="0026222C"/>
    <w:rsid w:val="00262C01"/>
    <w:rsid w:val="00262C84"/>
    <w:rsid w:val="00264ED6"/>
    <w:rsid w:val="00266236"/>
    <w:rsid w:val="00266F50"/>
    <w:rsid w:val="0026735F"/>
    <w:rsid w:val="002676EA"/>
    <w:rsid w:val="002712B7"/>
    <w:rsid w:val="00271B20"/>
    <w:rsid w:val="00271B98"/>
    <w:rsid w:val="00272D70"/>
    <w:rsid w:val="0027455F"/>
    <w:rsid w:val="00275CA4"/>
    <w:rsid w:val="00275F26"/>
    <w:rsid w:val="00276E0B"/>
    <w:rsid w:val="00277A5A"/>
    <w:rsid w:val="00277CB3"/>
    <w:rsid w:val="002812DF"/>
    <w:rsid w:val="00282E26"/>
    <w:rsid w:val="00283B9E"/>
    <w:rsid w:val="00284174"/>
    <w:rsid w:val="00284AA7"/>
    <w:rsid w:val="002919AD"/>
    <w:rsid w:val="002931AF"/>
    <w:rsid w:val="00293720"/>
    <w:rsid w:val="002937E8"/>
    <w:rsid w:val="00295A56"/>
    <w:rsid w:val="002960EE"/>
    <w:rsid w:val="002964CA"/>
    <w:rsid w:val="002A0352"/>
    <w:rsid w:val="002A0D30"/>
    <w:rsid w:val="002A644A"/>
    <w:rsid w:val="002A6FF8"/>
    <w:rsid w:val="002B2636"/>
    <w:rsid w:val="002B4A8F"/>
    <w:rsid w:val="002B5EC7"/>
    <w:rsid w:val="002B60BC"/>
    <w:rsid w:val="002B7732"/>
    <w:rsid w:val="002B7B53"/>
    <w:rsid w:val="002C0876"/>
    <w:rsid w:val="002C0CA0"/>
    <w:rsid w:val="002C231E"/>
    <w:rsid w:val="002C4633"/>
    <w:rsid w:val="002C4914"/>
    <w:rsid w:val="002C4F82"/>
    <w:rsid w:val="002C5251"/>
    <w:rsid w:val="002C68B0"/>
    <w:rsid w:val="002C7A7B"/>
    <w:rsid w:val="002D65C1"/>
    <w:rsid w:val="002D719F"/>
    <w:rsid w:val="002D74E6"/>
    <w:rsid w:val="002D7B52"/>
    <w:rsid w:val="002E0216"/>
    <w:rsid w:val="002E11CE"/>
    <w:rsid w:val="002E2440"/>
    <w:rsid w:val="002E3253"/>
    <w:rsid w:val="002E660F"/>
    <w:rsid w:val="002E690E"/>
    <w:rsid w:val="002E740D"/>
    <w:rsid w:val="002F1D8D"/>
    <w:rsid w:val="002F5A70"/>
    <w:rsid w:val="002F6C19"/>
    <w:rsid w:val="002F6E20"/>
    <w:rsid w:val="002F7D49"/>
    <w:rsid w:val="00302AA5"/>
    <w:rsid w:val="00302BA7"/>
    <w:rsid w:val="00302D80"/>
    <w:rsid w:val="00302F04"/>
    <w:rsid w:val="0030436B"/>
    <w:rsid w:val="0030637B"/>
    <w:rsid w:val="00307A85"/>
    <w:rsid w:val="00310BBF"/>
    <w:rsid w:val="00311FBC"/>
    <w:rsid w:val="00313238"/>
    <w:rsid w:val="00315793"/>
    <w:rsid w:val="0031595F"/>
    <w:rsid w:val="003176BF"/>
    <w:rsid w:val="00322587"/>
    <w:rsid w:val="00323078"/>
    <w:rsid w:val="00324965"/>
    <w:rsid w:val="00325C09"/>
    <w:rsid w:val="00326E56"/>
    <w:rsid w:val="00327DD1"/>
    <w:rsid w:val="00330BA2"/>
    <w:rsid w:val="0033256C"/>
    <w:rsid w:val="00333002"/>
    <w:rsid w:val="00334090"/>
    <w:rsid w:val="003346FC"/>
    <w:rsid w:val="00337655"/>
    <w:rsid w:val="00337B6D"/>
    <w:rsid w:val="00337F3C"/>
    <w:rsid w:val="00341C75"/>
    <w:rsid w:val="00342433"/>
    <w:rsid w:val="00344942"/>
    <w:rsid w:val="00344E27"/>
    <w:rsid w:val="00346BC4"/>
    <w:rsid w:val="003510AF"/>
    <w:rsid w:val="003558A8"/>
    <w:rsid w:val="00355BEA"/>
    <w:rsid w:val="00356BEB"/>
    <w:rsid w:val="00357201"/>
    <w:rsid w:val="003626F9"/>
    <w:rsid w:val="00362A27"/>
    <w:rsid w:val="00362FA2"/>
    <w:rsid w:val="003633EA"/>
    <w:rsid w:val="0036392B"/>
    <w:rsid w:val="0036540C"/>
    <w:rsid w:val="00366F42"/>
    <w:rsid w:val="00371B3D"/>
    <w:rsid w:val="00372145"/>
    <w:rsid w:val="00373322"/>
    <w:rsid w:val="003734CD"/>
    <w:rsid w:val="00375086"/>
    <w:rsid w:val="003766F7"/>
    <w:rsid w:val="003773BA"/>
    <w:rsid w:val="00380C94"/>
    <w:rsid w:val="00381A7F"/>
    <w:rsid w:val="00381C41"/>
    <w:rsid w:val="0038335A"/>
    <w:rsid w:val="003834F8"/>
    <w:rsid w:val="003864F7"/>
    <w:rsid w:val="003904A9"/>
    <w:rsid w:val="00390C5A"/>
    <w:rsid w:val="00390DF9"/>
    <w:rsid w:val="0039286D"/>
    <w:rsid w:val="00392D86"/>
    <w:rsid w:val="0039454D"/>
    <w:rsid w:val="00394BE2"/>
    <w:rsid w:val="00394FC0"/>
    <w:rsid w:val="00396377"/>
    <w:rsid w:val="00397E11"/>
    <w:rsid w:val="00397FD1"/>
    <w:rsid w:val="003A05EE"/>
    <w:rsid w:val="003A07B5"/>
    <w:rsid w:val="003A2985"/>
    <w:rsid w:val="003A6A5F"/>
    <w:rsid w:val="003A6A9E"/>
    <w:rsid w:val="003A6B13"/>
    <w:rsid w:val="003A6BBB"/>
    <w:rsid w:val="003A6BFC"/>
    <w:rsid w:val="003B3E6E"/>
    <w:rsid w:val="003B5E3D"/>
    <w:rsid w:val="003B6613"/>
    <w:rsid w:val="003B7FFE"/>
    <w:rsid w:val="003C0509"/>
    <w:rsid w:val="003C72DB"/>
    <w:rsid w:val="003D0D2B"/>
    <w:rsid w:val="003D117C"/>
    <w:rsid w:val="003D2D49"/>
    <w:rsid w:val="003D472D"/>
    <w:rsid w:val="003D657F"/>
    <w:rsid w:val="003D7D7D"/>
    <w:rsid w:val="003E319F"/>
    <w:rsid w:val="003E37CE"/>
    <w:rsid w:val="003E3E1D"/>
    <w:rsid w:val="003E606C"/>
    <w:rsid w:val="003F1C94"/>
    <w:rsid w:val="003F1ED3"/>
    <w:rsid w:val="003F2E84"/>
    <w:rsid w:val="003F5874"/>
    <w:rsid w:val="0040261E"/>
    <w:rsid w:val="00404286"/>
    <w:rsid w:val="00407114"/>
    <w:rsid w:val="00410750"/>
    <w:rsid w:val="00411E20"/>
    <w:rsid w:val="00415131"/>
    <w:rsid w:val="00415201"/>
    <w:rsid w:val="004166AE"/>
    <w:rsid w:val="00417CC3"/>
    <w:rsid w:val="004204A5"/>
    <w:rsid w:val="00421191"/>
    <w:rsid w:val="00421783"/>
    <w:rsid w:val="00422BA1"/>
    <w:rsid w:val="00422E5A"/>
    <w:rsid w:val="00424FF0"/>
    <w:rsid w:val="0042501B"/>
    <w:rsid w:val="00425CF6"/>
    <w:rsid w:val="004328FE"/>
    <w:rsid w:val="00432BD1"/>
    <w:rsid w:val="0043307B"/>
    <w:rsid w:val="0043589D"/>
    <w:rsid w:val="00435DEC"/>
    <w:rsid w:val="004365E0"/>
    <w:rsid w:val="00436C67"/>
    <w:rsid w:val="0044048F"/>
    <w:rsid w:val="00440D2E"/>
    <w:rsid w:val="00442209"/>
    <w:rsid w:val="0044253B"/>
    <w:rsid w:val="004425D3"/>
    <w:rsid w:val="00444472"/>
    <w:rsid w:val="004448A4"/>
    <w:rsid w:val="00447ED6"/>
    <w:rsid w:val="0045283E"/>
    <w:rsid w:val="00453F52"/>
    <w:rsid w:val="004559BA"/>
    <w:rsid w:val="00456EFE"/>
    <w:rsid w:val="0045702E"/>
    <w:rsid w:val="00457E4C"/>
    <w:rsid w:val="00460725"/>
    <w:rsid w:val="0046184F"/>
    <w:rsid w:val="004627AB"/>
    <w:rsid w:val="00462950"/>
    <w:rsid w:val="00462E94"/>
    <w:rsid w:val="00464B58"/>
    <w:rsid w:val="00465105"/>
    <w:rsid w:val="00465D09"/>
    <w:rsid w:val="004665C6"/>
    <w:rsid w:val="0047136C"/>
    <w:rsid w:val="00472B9A"/>
    <w:rsid w:val="0047354A"/>
    <w:rsid w:val="00474AA2"/>
    <w:rsid w:val="00474CDC"/>
    <w:rsid w:val="00475D30"/>
    <w:rsid w:val="004819A7"/>
    <w:rsid w:val="00485759"/>
    <w:rsid w:val="00485CF7"/>
    <w:rsid w:val="00487353"/>
    <w:rsid w:val="004876DC"/>
    <w:rsid w:val="00490F8B"/>
    <w:rsid w:val="0049105F"/>
    <w:rsid w:val="004910FF"/>
    <w:rsid w:val="004926BD"/>
    <w:rsid w:val="0049293A"/>
    <w:rsid w:val="0049393C"/>
    <w:rsid w:val="00494EC1"/>
    <w:rsid w:val="00496523"/>
    <w:rsid w:val="004A02FC"/>
    <w:rsid w:val="004A0948"/>
    <w:rsid w:val="004A2809"/>
    <w:rsid w:val="004A3BE2"/>
    <w:rsid w:val="004A6721"/>
    <w:rsid w:val="004A69AF"/>
    <w:rsid w:val="004A6F46"/>
    <w:rsid w:val="004A71BF"/>
    <w:rsid w:val="004B1638"/>
    <w:rsid w:val="004B3164"/>
    <w:rsid w:val="004B69F4"/>
    <w:rsid w:val="004C1823"/>
    <w:rsid w:val="004C3959"/>
    <w:rsid w:val="004C49CF"/>
    <w:rsid w:val="004C6745"/>
    <w:rsid w:val="004C7DCA"/>
    <w:rsid w:val="004D150B"/>
    <w:rsid w:val="004D18E1"/>
    <w:rsid w:val="004D1BB7"/>
    <w:rsid w:val="004D313F"/>
    <w:rsid w:val="004D43C2"/>
    <w:rsid w:val="004D4788"/>
    <w:rsid w:val="004D7434"/>
    <w:rsid w:val="004E2170"/>
    <w:rsid w:val="004E26BD"/>
    <w:rsid w:val="004E3C35"/>
    <w:rsid w:val="004E53CE"/>
    <w:rsid w:val="004E5579"/>
    <w:rsid w:val="004E61BE"/>
    <w:rsid w:val="004E6928"/>
    <w:rsid w:val="004E6B7D"/>
    <w:rsid w:val="004F3E50"/>
    <w:rsid w:val="004F54AD"/>
    <w:rsid w:val="004F673C"/>
    <w:rsid w:val="00501AE9"/>
    <w:rsid w:val="005038CE"/>
    <w:rsid w:val="00504E0D"/>
    <w:rsid w:val="005102DB"/>
    <w:rsid w:val="00513045"/>
    <w:rsid w:val="00513E4B"/>
    <w:rsid w:val="00514D1C"/>
    <w:rsid w:val="005153A4"/>
    <w:rsid w:val="00516B97"/>
    <w:rsid w:val="00523DDC"/>
    <w:rsid w:val="00525B6F"/>
    <w:rsid w:val="005272AE"/>
    <w:rsid w:val="00530B19"/>
    <w:rsid w:val="00530C85"/>
    <w:rsid w:val="005316D0"/>
    <w:rsid w:val="0053287D"/>
    <w:rsid w:val="00532962"/>
    <w:rsid w:val="00535057"/>
    <w:rsid w:val="0053651B"/>
    <w:rsid w:val="0054001D"/>
    <w:rsid w:val="00540566"/>
    <w:rsid w:val="00545715"/>
    <w:rsid w:val="00546857"/>
    <w:rsid w:val="005512B0"/>
    <w:rsid w:val="00552EFD"/>
    <w:rsid w:val="005531BC"/>
    <w:rsid w:val="00557343"/>
    <w:rsid w:val="005619FB"/>
    <w:rsid w:val="00561F7C"/>
    <w:rsid w:val="005630E2"/>
    <w:rsid w:val="00570BFC"/>
    <w:rsid w:val="00572CCA"/>
    <w:rsid w:val="00574CFA"/>
    <w:rsid w:val="005750A3"/>
    <w:rsid w:val="005769A3"/>
    <w:rsid w:val="005774AF"/>
    <w:rsid w:val="0059129C"/>
    <w:rsid w:val="005927B9"/>
    <w:rsid w:val="00595117"/>
    <w:rsid w:val="005A0286"/>
    <w:rsid w:val="005A10D2"/>
    <w:rsid w:val="005A1161"/>
    <w:rsid w:val="005A25B4"/>
    <w:rsid w:val="005A4C2B"/>
    <w:rsid w:val="005B0229"/>
    <w:rsid w:val="005B06AA"/>
    <w:rsid w:val="005B2573"/>
    <w:rsid w:val="005B30AD"/>
    <w:rsid w:val="005B33C9"/>
    <w:rsid w:val="005B5EE0"/>
    <w:rsid w:val="005B7DA8"/>
    <w:rsid w:val="005C0D48"/>
    <w:rsid w:val="005C1C5D"/>
    <w:rsid w:val="005C2003"/>
    <w:rsid w:val="005C42CB"/>
    <w:rsid w:val="005C7703"/>
    <w:rsid w:val="005D3CF9"/>
    <w:rsid w:val="005D3DF6"/>
    <w:rsid w:val="005D4DA5"/>
    <w:rsid w:val="005D6809"/>
    <w:rsid w:val="005E452C"/>
    <w:rsid w:val="005F40AD"/>
    <w:rsid w:val="005F50DF"/>
    <w:rsid w:val="005F61FB"/>
    <w:rsid w:val="005F7CF6"/>
    <w:rsid w:val="005F7DC7"/>
    <w:rsid w:val="0060232C"/>
    <w:rsid w:val="006029FA"/>
    <w:rsid w:val="006043F5"/>
    <w:rsid w:val="00610C96"/>
    <w:rsid w:val="0061113C"/>
    <w:rsid w:val="006114A3"/>
    <w:rsid w:val="006119BA"/>
    <w:rsid w:val="00611CBE"/>
    <w:rsid w:val="00614817"/>
    <w:rsid w:val="0062018A"/>
    <w:rsid w:val="00620A08"/>
    <w:rsid w:val="00625B55"/>
    <w:rsid w:val="0063066B"/>
    <w:rsid w:val="00631398"/>
    <w:rsid w:val="00634E4C"/>
    <w:rsid w:val="00637657"/>
    <w:rsid w:val="00637FAC"/>
    <w:rsid w:val="00641A72"/>
    <w:rsid w:val="00641B66"/>
    <w:rsid w:val="00643A17"/>
    <w:rsid w:val="00643A6D"/>
    <w:rsid w:val="006444C7"/>
    <w:rsid w:val="00644B61"/>
    <w:rsid w:val="00644D3D"/>
    <w:rsid w:val="00646074"/>
    <w:rsid w:val="00650A6B"/>
    <w:rsid w:val="00652D85"/>
    <w:rsid w:val="00654B5B"/>
    <w:rsid w:val="00656047"/>
    <w:rsid w:val="00660F11"/>
    <w:rsid w:val="00661CB5"/>
    <w:rsid w:val="00664779"/>
    <w:rsid w:val="00666524"/>
    <w:rsid w:val="00667AA4"/>
    <w:rsid w:val="00667CA4"/>
    <w:rsid w:val="00671EB8"/>
    <w:rsid w:val="006720FD"/>
    <w:rsid w:val="0067306C"/>
    <w:rsid w:val="006739CA"/>
    <w:rsid w:val="00674110"/>
    <w:rsid w:val="00675E48"/>
    <w:rsid w:val="00676F66"/>
    <w:rsid w:val="00677ECC"/>
    <w:rsid w:val="00683A52"/>
    <w:rsid w:val="00684215"/>
    <w:rsid w:val="0068589F"/>
    <w:rsid w:val="00694B59"/>
    <w:rsid w:val="006975A9"/>
    <w:rsid w:val="006A2665"/>
    <w:rsid w:val="006A3394"/>
    <w:rsid w:val="006A42DF"/>
    <w:rsid w:val="006A508D"/>
    <w:rsid w:val="006A56DB"/>
    <w:rsid w:val="006A57F0"/>
    <w:rsid w:val="006A6461"/>
    <w:rsid w:val="006B0E95"/>
    <w:rsid w:val="006B2ED0"/>
    <w:rsid w:val="006B37A3"/>
    <w:rsid w:val="006B5797"/>
    <w:rsid w:val="006B6322"/>
    <w:rsid w:val="006B7068"/>
    <w:rsid w:val="006B70DB"/>
    <w:rsid w:val="006C0211"/>
    <w:rsid w:val="006C0905"/>
    <w:rsid w:val="006C1922"/>
    <w:rsid w:val="006C38CE"/>
    <w:rsid w:val="006C4620"/>
    <w:rsid w:val="006C4B70"/>
    <w:rsid w:val="006C4E45"/>
    <w:rsid w:val="006C743F"/>
    <w:rsid w:val="006C7870"/>
    <w:rsid w:val="006C7B1B"/>
    <w:rsid w:val="006D3705"/>
    <w:rsid w:val="006D3798"/>
    <w:rsid w:val="006D4821"/>
    <w:rsid w:val="006D4968"/>
    <w:rsid w:val="006D54CC"/>
    <w:rsid w:val="006E1ACD"/>
    <w:rsid w:val="006E2D7D"/>
    <w:rsid w:val="006E3F10"/>
    <w:rsid w:val="006E48C5"/>
    <w:rsid w:val="006E4A17"/>
    <w:rsid w:val="006F3212"/>
    <w:rsid w:val="006F3781"/>
    <w:rsid w:val="006F4A89"/>
    <w:rsid w:val="006F532D"/>
    <w:rsid w:val="006F6E5A"/>
    <w:rsid w:val="00704613"/>
    <w:rsid w:val="00704DBE"/>
    <w:rsid w:val="00705CAF"/>
    <w:rsid w:val="007079AD"/>
    <w:rsid w:val="00712180"/>
    <w:rsid w:val="00715F49"/>
    <w:rsid w:val="00716F6F"/>
    <w:rsid w:val="007202AD"/>
    <w:rsid w:val="0072342B"/>
    <w:rsid w:val="007260F1"/>
    <w:rsid w:val="00726174"/>
    <w:rsid w:val="007279AC"/>
    <w:rsid w:val="00731E24"/>
    <w:rsid w:val="00733B15"/>
    <w:rsid w:val="00733B94"/>
    <w:rsid w:val="00734E19"/>
    <w:rsid w:val="007370F5"/>
    <w:rsid w:val="00740587"/>
    <w:rsid w:val="00742145"/>
    <w:rsid w:val="0074335C"/>
    <w:rsid w:val="007457A8"/>
    <w:rsid w:val="00745E31"/>
    <w:rsid w:val="00745ED5"/>
    <w:rsid w:val="007468E6"/>
    <w:rsid w:val="00747EC6"/>
    <w:rsid w:val="00750181"/>
    <w:rsid w:val="00752B40"/>
    <w:rsid w:val="00752FE4"/>
    <w:rsid w:val="00753682"/>
    <w:rsid w:val="0075776C"/>
    <w:rsid w:val="007610A0"/>
    <w:rsid w:val="00761F2E"/>
    <w:rsid w:val="0076215A"/>
    <w:rsid w:val="007639D0"/>
    <w:rsid w:val="00763E5F"/>
    <w:rsid w:val="0076495F"/>
    <w:rsid w:val="0076591C"/>
    <w:rsid w:val="00765F34"/>
    <w:rsid w:val="007667E3"/>
    <w:rsid w:val="0076699F"/>
    <w:rsid w:val="0077025E"/>
    <w:rsid w:val="0077044D"/>
    <w:rsid w:val="00772840"/>
    <w:rsid w:val="00774EB0"/>
    <w:rsid w:val="00776D00"/>
    <w:rsid w:val="00780355"/>
    <w:rsid w:val="0078106A"/>
    <w:rsid w:val="00782398"/>
    <w:rsid w:val="007823DA"/>
    <w:rsid w:val="00783869"/>
    <w:rsid w:val="00785078"/>
    <w:rsid w:val="00787DF4"/>
    <w:rsid w:val="00791B3F"/>
    <w:rsid w:val="00791DCE"/>
    <w:rsid w:val="00792FD9"/>
    <w:rsid w:val="0079648A"/>
    <w:rsid w:val="0079717E"/>
    <w:rsid w:val="007A11DC"/>
    <w:rsid w:val="007A1230"/>
    <w:rsid w:val="007A161A"/>
    <w:rsid w:val="007A3482"/>
    <w:rsid w:val="007A4AD2"/>
    <w:rsid w:val="007A6144"/>
    <w:rsid w:val="007A6782"/>
    <w:rsid w:val="007A6FAE"/>
    <w:rsid w:val="007A724F"/>
    <w:rsid w:val="007A7667"/>
    <w:rsid w:val="007B0832"/>
    <w:rsid w:val="007B386A"/>
    <w:rsid w:val="007B475D"/>
    <w:rsid w:val="007B5426"/>
    <w:rsid w:val="007B5734"/>
    <w:rsid w:val="007B5FEB"/>
    <w:rsid w:val="007C01E6"/>
    <w:rsid w:val="007C026D"/>
    <w:rsid w:val="007C0328"/>
    <w:rsid w:val="007C0837"/>
    <w:rsid w:val="007C147C"/>
    <w:rsid w:val="007C424E"/>
    <w:rsid w:val="007C7180"/>
    <w:rsid w:val="007D051C"/>
    <w:rsid w:val="007E4FAE"/>
    <w:rsid w:val="007E5065"/>
    <w:rsid w:val="007E6024"/>
    <w:rsid w:val="007E6E06"/>
    <w:rsid w:val="007F3BCB"/>
    <w:rsid w:val="007F74D7"/>
    <w:rsid w:val="008008E4"/>
    <w:rsid w:val="0080168B"/>
    <w:rsid w:val="008033DB"/>
    <w:rsid w:val="00807177"/>
    <w:rsid w:val="0081033C"/>
    <w:rsid w:val="008124C5"/>
    <w:rsid w:val="008136E3"/>
    <w:rsid w:val="00815322"/>
    <w:rsid w:val="00821130"/>
    <w:rsid w:val="0082752D"/>
    <w:rsid w:val="0082789D"/>
    <w:rsid w:val="00830DE2"/>
    <w:rsid w:val="0083159E"/>
    <w:rsid w:val="008315D8"/>
    <w:rsid w:val="00832152"/>
    <w:rsid w:val="00834243"/>
    <w:rsid w:val="00836780"/>
    <w:rsid w:val="008378EC"/>
    <w:rsid w:val="00840209"/>
    <w:rsid w:val="00840CDE"/>
    <w:rsid w:val="008418EF"/>
    <w:rsid w:val="00841A33"/>
    <w:rsid w:val="00843FBE"/>
    <w:rsid w:val="008448F7"/>
    <w:rsid w:val="008466D9"/>
    <w:rsid w:val="00846836"/>
    <w:rsid w:val="00847F38"/>
    <w:rsid w:val="008523F9"/>
    <w:rsid w:val="00852A1B"/>
    <w:rsid w:val="00860EDE"/>
    <w:rsid w:val="00861068"/>
    <w:rsid w:val="00862FCF"/>
    <w:rsid w:val="00865F90"/>
    <w:rsid w:val="00866CA1"/>
    <w:rsid w:val="008676EC"/>
    <w:rsid w:val="00867C8A"/>
    <w:rsid w:val="008721C7"/>
    <w:rsid w:val="00872393"/>
    <w:rsid w:val="00873717"/>
    <w:rsid w:val="00873B63"/>
    <w:rsid w:val="00874532"/>
    <w:rsid w:val="00875428"/>
    <w:rsid w:val="008760A6"/>
    <w:rsid w:val="00876785"/>
    <w:rsid w:val="008779DF"/>
    <w:rsid w:val="00877F5C"/>
    <w:rsid w:val="008810B4"/>
    <w:rsid w:val="008811E7"/>
    <w:rsid w:val="00881C27"/>
    <w:rsid w:val="00882BB2"/>
    <w:rsid w:val="00883831"/>
    <w:rsid w:val="00885336"/>
    <w:rsid w:val="00885B94"/>
    <w:rsid w:val="008863E7"/>
    <w:rsid w:val="00893F39"/>
    <w:rsid w:val="00895271"/>
    <w:rsid w:val="008957D3"/>
    <w:rsid w:val="00895DF1"/>
    <w:rsid w:val="00896E75"/>
    <w:rsid w:val="008970B6"/>
    <w:rsid w:val="008970DA"/>
    <w:rsid w:val="00897BE4"/>
    <w:rsid w:val="008A066B"/>
    <w:rsid w:val="008A0701"/>
    <w:rsid w:val="008A149E"/>
    <w:rsid w:val="008A2709"/>
    <w:rsid w:val="008A49A8"/>
    <w:rsid w:val="008A4BE3"/>
    <w:rsid w:val="008A4E8E"/>
    <w:rsid w:val="008A5CD0"/>
    <w:rsid w:val="008A69D2"/>
    <w:rsid w:val="008B0491"/>
    <w:rsid w:val="008B07A1"/>
    <w:rsid w:val="008B2DA3"/>
    <w:rsid w:val="008B34FE"/>
    <w:rsid w:val="008B3573"/>
    <w:rsid w:val="008B47B1"/>
    <w:rsid w:val="008B70EF"/>
    <w:rsid w:val="008C0012"/>
    <w:rsid w:val="008C0A45"/>
    <w:rsid w:val="008C0DC0"/>
    <w:rsid w:val="008C1B87"/>
    <w:rsid w:val="008C1F50"/>
    <w:rsid w:val="008C2C90"/>
    <w:rsid w:val="008C58B7"/>
    <w:rsid w:val="008D4FBA"/>
    <w:rsid w:val="008D52C6"/>
    <w:rsid w:val="008D56A8"/>
    <w:rsid w:val="008D7598"/>
    <w:rsid w:val="008D78D5"/>
    <w:rsid w:val="008E10C8"/>
    <w:rsid w:val="008E1DDB"/>
    <w:rsid w:val="008E288E"/>
    <w:rsid w:val="008F0004"/>
    <w:rsid w:val="008F25FC"/>
    <w:rsid w:val="008F2F4F"/>
    <w:rsid w:val="008F3F62"/>
    <w:rsid w:val="008F497D"/>
    <w:rsid w:val="008F706D"/>
    <w:rsid w:val="008F7241"/>
    <w:rsid w:val="008F7807"/>
    <w:rsid w:val="00900D3A"/>
    <w:rsid w:val="009011C8"/>
    <w:rsid w:val="009024A3"/>
    <w:rsid w:val="00903508"/>
    <w:rsid w:val="009046A9"/>
    <w:rsid w:val="009050E6"/>
    <w:rsid w:val="00905914"/>
    <w:rsid w:val="00906037"/>
    <w:rsid w:val="009066B3"/>
    <w:rsid w:val="0091130A"/>
    <w:rsid w:val="00915EB9"/>
    <w:rsid w:val="00916A6A"/>
    <w:rsid w:val="00917CEE"/>
    <w:rsid w:val="00921258"/>
    <w:rsid w:val="00923797"/>
    <w:rsid w:val="00924633"/>
    <w:rsid w:val="00925C2F"/>
    <w:rsid w:val="00926A26"/>
    <w:rsid w:val="00930AFF"/>
    <w:rsid w:val="00930F9A"/>
    <w:rsid w:val="00931956"/>
    <w:rsid w:val="00933882"/>
    <w:rsid w:val="0093491E"/>
    <w:rsid w:val="00935726"/>
    <w:rsid w:val="00936AC1"/>
    <w:rsid w:val="00936E0B"/>
    <w:rsid w:val="0094339A"/>
    <w:rsid w:val="00943FDC"/>
    <w:rsid w:val="0094400C"/>
    <w:rsid w:val="00944751"/>
    <w:rsid w:val="00945E06"/>
    <w:rsid w:val="009511CF"/>
    <w:rsid w:val="00951264"/>
    <w:rsid w:val="00951B28"/>
    <w:rsid w:val="00954579"/>
    <w:rsid w:val="009557F8"/>
    <w:rsid w:val="00955CEA"/>
    <w:rsid w:val="00955D5B"/>
    <w:rsid w:val="00956E03"/>
    <w:rsid w:val="00957679"/>
    <w:rsid w:val="009604DA"/>
    <w:rsid w:val="009622F0"/>
    <w:rsid w:val="0096657A"/>
    <w:rsid w:val="00967874"/>
    <w:rsid w:val="00970CC4"/>
    <w:rsid w:val="00972948"/>
    <w:rsid w:val="00972E79"/>
    <w:rsid w:val="0097770C"/>
    <w:rsid w:val="009806A8"/>
    <w:rsid w:val="00983FCA"/>
    <w:rsid w:val="00990AF7"/>
    <w:rsid w:val="00991CB5"/>
    <w:rsid w:val="00993AD9"/>
    <w:rsid w:val="0099630E"/>
    <w:rsid w:val="009A25AF"/>
    <w:rsid w:val="009A63C5"/>
    <w:rsid w:val="009A7DB2"/>
    <w:rsid w:val="009B12ED"/>
    <w:rsid w:val="009B18EA"/>
    <w:rsid w:val="009B41A8"/>
    <w:rsid w:val="009B5347"/>
    <w:rsid w:val="009B5DF5"/>
    <w:rsid w:val="009C296A"/>
    <w:rsid w:val="009C4A43"/>
    <w:rsid w:val="009C4FA7"/>
    <w:rsid w:val="009C7639"/>
    <w:rsid w:val="009D043A"/>
    <w:rsid w:val="009D1416"/>
    <w:rsid w:val="009D14CD"/>
    <w:rsid w:val="009D373D"/>
    <w:rsid w:val="009D45B4"/>
    <w:rsid w:val="009D4A56"/>
    <w:rsid w:val="009E155A"/>
    <w:rsid w:val="009E4207"/>
    <w:rsid w:val="009E7C27"/>
    <w:rsid w:val="009F0A24"/>
    <w:rsid w:val="009F48DB"/>
    <w:rsid w:val="00A00E44"/>
    <w:rsid w:val="00A01204"/>
    <w:rsid w:val="00A023AD"/>
    <w:rsid w:val="00A03785"/>
    <w:rsid w:val="00A049CA"/>
    <w:rsid w:val="00A04B10"/>
    <w:rsid w:val="00A05E14"/>
    <w:rsid w:val="00A113B2"/>
    <w:rsid w:val="00A11448"/>
    <w:rsid w:val="00A12B50"/>
    <w:rsid w:val="00A14F93"/>
    <w:rsid w:val="00A15AAC"/>
    <w:rsid w:val="00A17425"/>
    <w:rsid w:val="00A17665"/>
    <w:rsid w:val="00A2033A"/>
    <w:rsid w:val="00A20D97"/>
    <w:rsid w:val="00A20FE6"/>
    <w:rsid w:val="00A21C1A"/>
    <w:rsid w:val="00A236F3"/>
    <w:rsid w:val="00A25FC7"/>
    <w:rsid w:val="00A26230"/>
    <w:rsid w:val="00A26CE2"/>
    <w:rsid w:val="00A27A0E"/>
    <w:rsid w:val="00A3061A"/>
    <w:rsid w:val="00A3352C"/>
    <w:rsid w:val="00A33E36"/>
    <w:rsid w:val="00A34FF4"/>
    <w:rsid w:val="00A36332"/>
    <w:rsid w:val="00A36957"/>
    <w:rsid w:val="00A37642"/>
    <w:rsid w:val="00A379AA"/>
    <w:rsid w:val="00A41112"/>
    <w:rsid w:val="00A411C2"/>
    <w:rsid w:val="00A425F3"/>
    <w:rsid w:val="00A43F8C"/>
    <w:rsid w:val="00A54855"/>
    <w:rsid w:val="00A562C9"/>
    <w:rsid w:val="00A5694B"/>
    <w:rsid w:val="00A5782C"/>
    <w:rsid w:val="00A60551"/>
    <w:rsid w:val="00A60CD5"/>
    <w:rsid w:val="00A61256"/>
    <w:rsid w:val="00A626DD"/>
    <w:rsid w:val="00A63C6E"/>
    <w:rsid w:val="00A63CE0"/>
    <w:rsid w:val="00A6563D"/>
    <w:rsid w:val="00A6571D"/>
    <w:rsid w:val="00A665F6"/>
    <w:rsid w:val="00A67431"/>
    <w:rsid w:val="00A67619"/>
    <w:rsid w:val="00A71287"/>
    <w:rsid w:val="00A71D4A"/>
    <w:rsid w:val="00A725AF"/>
    <w:rsid w:val="00A732B9"/>
    <w:rsid w:val="00A73942"/>
    <w:rsid w:val="00A7412A"/>
    <w:rsid w:val="00A75039"/>
    <w:rsid w:val="00A750F8"/>
    <w:rsid w:val="00A75BD5"/>
    <w:rsid w:val="00A75DC1"/>
    <w:rsid w:val="00A76EBD"/>
    <w:rsid w:val="00A77496"/>
    <w:rsid w:val="00A80173"/>
    <w:rsid w:val="00A80A04"/>
    <w:rsid w:val="00A80B68"/>
    <w:rsid w:val="00A8405F"/>
    <w:rsid w:val="00A85545"/>
    <w:rsid w:val="00A856A7"/>
    <w:rsid w:val="00A87222"/>
    <w:rsid w:val="00A87B83"/>
    <w:rsid w:val="00A95BBB"/>
    <w:rsid w:val="00A960E1"/>
    <w:rsid w:val="00A9638E"/>
    <w:rsid w:val="00A96EDC"/>
    <w:rsid w:val="00A97661"/>
    <w:rsid w:val="00AA0E83"/>
    <w:rsid w:val="00AA2003"/>
    <w:rsid w:val="00AA3B41"/>
    <w:rsid w:val="00AA4E8F"/>
    <w:rsid w:val="00AB012D"/>
    <w:rsid w:val="00AB1509"/>
    <w:rsid w:val="00AB1E06"/>
    <w:rsid w:val="00AB28E6"/>
    <w:rsid w:val="00AB3E23"/>
    <w:rsid w:val="00AB3EFE"/>
    <w:rsid w:val="00AB43F9"/>
    <w:rsid w:val="00AB7219"/>
    <w:rsid w:val="00AB746B"/>
    <w:rsid w:val="00AB79DF"/>
    <w:rsid w:val="00AB7F07"/>
    <w:rsid w:val="00AC0046"/>
    <w:rsid w:val="00AC17BD"/>
    <w:rsid w:val="00AC454B"/>
    <w:rsid w:val="00AC5A3B"/>
    <w:rsid w:val="00AC6F27"/>
    <w:rsid w:val="00AD4C2C"/>
    <w:rsid w:val="00AD5E7C"/>
    <w:rsid w:val="00AE0848"/>
    <w:rsid w:val="00AE087A"/>
    <w:rsid w:val="00AE14D0"/>
    <w:rsid w:val="00AE3BE3"/>
    <w:rsid w:val="00AE4233"/>
    <w:rsid w:val="00AE5306"/>
    <w:rsid w:val="00AE5F05"/>
    <w:rsid w:val="00AE7477"/>
    <w:rsid w:val="00AE7C67"/>
    <w:rsid w:val="00AF2454"/>
    <w:rsid w:val="00AF72D9"/>
    <w:rsid w:val="00B00528"/>
    <w:rsid w:val="00B01221"/>
    <w:rsid w:val="00B01FDE"/>
    <w:rsid w:val="00B02977"/>
    <w:rsid w:val="00B04988"/>
    <w:rsid w:val="00B06732"/>
    <w:rsid w:val="00B0734E"/>
    <w:rsid w:val="00B10A80"/>
    <w:rsid w:val="00B11820"/>
    <w:rsid w:val="00B118CE"/>
    <w:rsid w:val="00B1338A"/>
    <w:rsid w:val="00B13D42"/>
    <w:rsid w:val="00B15177"/>
    <w:rsid w:val="00B15A63"/>
    <w:rsid w:val="00B164D8"/>
    <w:rsid w:val="00B16566"/>
    <w:rsid w:val="00B1667C"/>
    <w:rsid w:val="00B2190E"/>
    <w:rsid w:val="00B21ECA"/>
    <w:rsid w:val="00B21F43"/>
    <w:rsid w:val="00B24CB3"/>
    <w:rsid w:val="00B279B2"/>
    <w:rsid w:val="00B31D39"/>
    <w:rsid w:val="00B33422"/>
    <w:rsid w:val="00B34E5E"/>
    <w:rsid w:val="00B355CD"/>
    <w:rsid w:val="00B358CF"/>
    <w:rsid w:val="00B35B38"/>
    <w:rsid w:val="00B36129"/>
    <w:rsid w:val="00B36C12"/>
    <w:rsid w:val="00B413F5"/>
    <w:rsid w:val="00B42314"/>
    <w:rsid w:val="00B42582"/>
    <w:rsid w:val="00B43BD5"/>
    <w:rsid w:val="00B446A8"/>
    <w:rsid w:val="00B47463"/>
    <w:rsid w:val="00B521C3"/>
    <w:rsid w:val="00B5396F"/>
    <w:rsid w:val="00B54088"/>
    <w:rsid w:val="00B55383"/>
    <w:rsid w:val="00B615A3"/>
    <w:rsid w:val="00B63B24"/>
    <w:rsid w:val="00B64294"/>
    <w:rsid w:val="00B64535"/>
    <w:rsid w:val="00B654A4"/>
    <w:rsid w:val="00B65501"/>
    <w:rsid w:val="00B656EB"/>
    <w:rsid w:val="00B66A5F"/>
    <w:rsid w:val="00B72124"/>
    <w:rsid w:val="00B737D8"/>
    <w:rsid w:val="00B7385B"/>
    <w:rsid w:val="00B7450B"/>
    <w:rsid w:val="00B75ADC"/>
    <w:rsid w:val="00B764F9"/>
    <w:rsid w:val="00B774C8"/>
    <w:rsid w:val="00B822D5"/>
    <w:rsid w:val="00B83D20"/>
    <w:rsid w:val="00B85DE1"/>
    <w:rsid w:val="00B865B5"/>
    <w:rsid w:val="00B868F5"/>
    <w:rsid w:val="00B92293"/>
    <w:rsid w:val="00B938B5"/>
    <w:rsid w:val="00B93B6F"/>
    <w:rsid w:val="00B94ACF"/>
    <w:rsid w:val="00B95E69"/>
    <w:rsid w:val="00B97601"/>
    <w:rsid w:val="00B977D0"/>
    <w:rsid w:val="00B97AA6"/>
    <w:rsid w:val="00BA125A"/>
    <w:rsid w:val="00BA2AE0"/>
    <w:rsid w:val="00BA40F9"/>
    <w:rsid w:val="00BA43D0"/>
    <w:rsid w:val="00BA6F2D"/>
    <w:rsid w:val="00BA74C7"/>
    <w:rsid w:val="00BB0024"/>
    <w:rsid w:val="00BB0D9F"/>
    <w:rsid w:val="00BB16C1"/>
    <w:rsid w:val="00BB3A44"/>
    <w:rsid w:val="00BB75CE"/>
    <w:rsid w:val="00BB770F"/>
    <w:rsid w:val="00BC32CC"/>
    <w:rsid w:val="00BC52DD"/>
    <w:rsid w:val="00BC64FA"/>
    <w:rsid w:val="00BD0693"/>
    <w:rsid w:val="00BD0BED"/>
    <w:rsid w:val="00BD3050"/>
    <w:rsid w:val="00BD3C05"/>
    <w:rsid w:val="00BE07D0"/>
    <w:rsid w:val="00BE0BDE"/>
    <w:rsid w:val="00BE32D6"/>
    <w:rsid w:val="00BE3A42"/>
    <w:rsid w:val="00BE58B2"/>
    <w:rsid w:val="00BE5D52"/>
    <w:rsid w:val="00BE5EE9"/>
    <w:rsid w:val="00BE7796"/>
    <w:rsid w:val="00BF0616"/>
    <w:rsid w:val="00BF1754"/>
    <w:rsid w:val="00BF1BB9"/>
    <w:rsid w:val="00BF23F0"/>
    <w:rsid w:val="00BF4210"/>
    <w:rsid w:val="00C035DB"/>
    <w:rsid w:val="00C044F0"/>
    <w:rsid w:val="00C04A3E"/>
    <w:rsid w:val="00C0611F"/>
    <w:rsid w:val="00C07164"/>
    <w:rsid w:val="00C071EA"/>
    <w:rsid w:val="00C14062"/>
    <w:rsid w:val="00C14225"/>
    <w:rsid w:val="00C14C97"/>
    <w:rsid w:val="00C1591C"/>
    <w:rsid w:val="00C175CF"/>
    <w:rsid w:val="00C17955"/>
    <w:rsid w:val="00C20B3B"/>
    <w:rsid w:val="00C22ED7"/>
    <w:rsid w:val="00C25E26"/>
    <w:rsid w:val="00C263D9"/>
    <w:rsid w:val="00C269B8"/>
    <w:rsid w:val="00C33C98"/>
    <w:rsid w:val="00C33F0B"/>
    <w:rsid w:val="00C360DA"/>
    <w:rsid w:val="00C3799C"/>
    <w:rsid w:val="00C42197"/>
    <w:rsid w:val="00C44E1E"/>
    <w:rsid w:val="00C45D2E"/>
    <w:rsid w:val="00C46183"/>
    <w:rsid w:val="00C463DD"/>
    <w:rsid w:val="00C4697A"/>
    <w:rsid w:val="00C471A3"/>
    <w:rsid w:val="00C4771D"/>
    <w:rsid w:val="00C47A65"/>
    <w:rsid w:val="00C54797"/>
    <w:rsid w:val="00C55B14"/>
    <w:rsid w:val="00C56494"/>
    <w:rsid w:val="00C56BE2"/>
    <w:rsid w:val="00C5733F"/>
    <w:rsid w:val="00C61006"/>
    <w:rsid w:val="00C61D26"/>
    <w:rsid w:val="00C62176"/>
    <w:rsid w:val="00C6337F"/>
    <w:rsid w:val="00C6429C"/>
    <w:rsid w:val="00C65A6F"/>
    <w:rsid w:val="00C65C41"/>
    <w:rsid w:val="00C6675A"/>
    <w:rsid w:val="00C7039C"/>
    <w:rsid w:val="00C73476"/>
    <w:rsid w:val="00C739F9"/>
    <w:rsid w:val="00C7469E"/>
    <w:rsid w:val="00C74BA4"/>
    <w:rsid w:val="00C7529D"/>
    <w:rsid w:val="00C76143"/>
    <w:rsid w:val="00C76A50"/>
    <w:rsid w:val="00C777D0"/>
    <w:rsid w:val="00C81868"/>
    <w:rsid w:val="00C83EC1"/>
    <w:rsid w:val="00C852FD"/>
    <w:rsid w:val="00C85C2D"/>
    <w:rsid w:val="00C86106"/>
    <w:rsid w:val="00C87495"/>
    <w:rsid w:val="00C90E39"/>
    <w:rsid w:val="00C91E86"/>
    <w:rsid w:val="00C9486D"/>
    <w:rsid w:val="00CA1B15"/>
    <w:rsid w:val="00CA23CC"/>
    <w:rsid w:val="00CA5BC1"/>
    <w:rsid w:val="00CA61DE"/>
    <w:rsid w:val="00CA6F39"/>
    <w:rsid w:val="00CB0028"/>
    <w:rsid w:val="00CB0966"/>
    <w:rsid w:val="00CB24A8"/>
    <w:rsid w:val="00CB3407"/>
    <w:rsid w:val="00CB341A"/>
    <w:rsid w:val="00CB3BE4"/>
    <w:rsid w:val="00CB64A0"/>
    <w:rsid w:val="00CC25E6"/>
    <w:rsid w:val="00CC2747"/>
    <w:rsid w:val="00CC3BCD"/>
    <w:rsid w:val="00CC3EAA"/>
    <w:rsid w:val="00CC57AB"/>
    <w:rsid w:val="00CC67ED"/>
    <w:rsid w:val="00CD0A50"/>
    <w:rsid w:val="00CD1A5C"/>
    <w:rsid w:val="00CD1DBB"/>
    <w:rsid w:val="00CD2E15"/>
    <w:rsid w:val="00CD2FD9"/>
    <w:rsid w:val="00CD65A2"/>
    <w:rsid w:val="00CE12FC"/>
    <w:rsid w:val="00CF2919"/>
    <w:rsid w:val="00D001A0"/>
    <w:rsid w:val="00D01898"/>
    <w:rsid w:val="00D02164"/>
    <w:rsid w:val="00D021E6"/>
    <w:rsid w:val="00D02B2B"/>
    <w:rsid w:val="00D0530D"/>
    <w:rsid w:val="00D068F6"/>
    <w:rsid w:val="00D12297"/>
    <w:rsid w:val="00D13502"/>
    <w:rsid w:val="00D13CA7"/>
    <w:rsid w:val="00D152C8"/>
    <w:rsid w:val="00D152E5"/>
    <w:rsid w:val="00D15995"/>
    <w:rsid w:val="00D15C8F"/>
    <w:rsid w:val="00D17373"/>
    <w:rsid w:val="00D17778"/>
    <w:rsid w:val="00D21781"/>
    <w:rsid w:val="00D22690"/>
    <w:rsid w:val="00D22928"/>
    <w:rsid w:val="00D232B1"/>
    <w:rsid w:val="00D243E1"/>
    <w:rsid w:val="00D2526B"/>
    <w:rsid w:val="00D25BC2"/>
    <w:rsid w:val="00D307F2"/>
    <w:rsid w:val="00D30E43"/>
    <w:rsid w:val="00D3131D"/>
    <w:rsid w:val="00D32066"/>
    <w:rsid w:val="00D341CF"/>
    <w:rsid w:val="00D34AA1"/>
    <w:rsid w:val="00D35063"/>
    <w:rsid w:val="00D37544"/>
    <w:rsid w:val="00D37C4A"/>
    <w:rsid w:val="00D407FE"/>
    <w:rsid w:val="00D4158C"/>
    <w:rsid w:val="00D41E31"/>
    <w:rsid w:val="00D42AAC"/>
    <w:rsid w:val="00D42B26"/>
    <w:rsid w:val="00D44EFA"/>
    <w:rsid w:val="00D45886"/>
    <w:rsid w:val="00D46B04"/>
    <w:rsid w:val="00D46F0B"/>
    <w:rsid w:val="00D47A8B"/>
    <w:rsid w:val="00D47C73"/>
    <w:rsid w:val="00D51B32"/>
    <w:rsid w:val="00D5270A"/>
    <w:rsid w:val="00D52D6A"/>
    <w:rsid w:val="00D550A7"/>
    <w:rsid w:val="00D60DE7"/>
    <w:rsid w:val="00D60E82"/>
    <w:rsid w:val="00D61D2B"/>
    <w:rsid w:val="00D64A15"/>
    <w:rsid w:val="00D6553B"/>
    <w:rsid w:val="00D665B1"/>
    <w:rsid w:val="00D673BC"/>
    <w:rsid w:val="00D67998"/>
    <w:rsid w:val="00D7122D"/>
    <w:rsid w:val="00D717B5"/>
    <w:rsid w:val="00D71C25"/>
    <w:rsid w:val="00D73277"/>
    <w:rsid w:val="00D73401"/>
    <w:rsid w:val="00D739C5"/>
    <w:rsid w:val="00D74461"/>
    <w:rsid w:val="00D75AFC"/>
    <w:rsid w:val="00D76102"/>
    <w:rsid w:val="00D76EBD"/>
    <w:rsid w:val="00D76F9F"/>
    <w:rsid w:val="00D812D1"/>
    <w:rsid w:val="00D81E30"/>
    <w:rsid w:val="00D81E88"/>
    <w:rsid w:val="00D82644"/>
    <w:rsid w:val="00D83023"/>
    <w:rsid w:val="00D8332A"/>
    <w:rsid w:val="00D85890"/>
    <w:rsid w:val="00D86C74"/>
    <w:rsid w:val="00D86EFF"/>
    <w:rsid w:val="00D9013C"/>
    <w:rsid w:val="00D91BBC"/>
    <w:rsid w:val="00D92394"/>
    <w:rsid w:val="00D93996"/>
    <w:rsid w:val="00D94461"/>
    <w:rsid w:val="00D94DD0"/>
    <w:rsid w:val="00DA0224"/>
    <w:rsid w:val="00DA05A0"/>
    <w:rsid w:val="00DA4246"/>
    <w:rsid w:val="00DA5C99"/>
    <w:rsid w:val="00DA61E1"/>
    <w:rsid w:val="00DA6A85"/>
    <w:rsid w:val="00DA6E2F"/>
    <w:rsid w:val="00DA7A9A"/>
    <w:rsid w:val="00DB0117"/>
    <w:rsid w:val="00DB0712"/>
    <w:rsid w:val="00DB0F02"/>
    <w:rsid w:val="00DB5F4C"/>
    <w:rsid w:val="00DC04C7"/>
    <w:rsid w:val="00DC0861"/>
    <w:rsid w:val="00DC1A89"/>
    <w:rsid w:val="00DC1AE4"/>
    <w:rsid w:val="00DC2BF1"/>
    <w:rsid w:val="00DC3E88"/>
    <w:rsid w:val="00DC4C8E"/>
    <w:rsid w:val="00DC4FB8"/>
    <w:rsid w:val="00DC7766"/>
    <w:rsid w:val="00DD0645"/>
    <w:rsid w:val="00DD198A"/>
    <w:rsid w:val="00DD2B3F"/>
    <w:rsid w:val="00DD6DD0"/>
    <w:rsid w:val="00DE4340"/>
    <w:rsid w:val="00DE535C"/>
    <w:rsid w:val="00DF0FE9"/>
    <w:rsid w:val="00DF1C42"/>
    <w:rsid w:val="00DF3427"/>
    <w:rsid w:val="00DF4461"/>
    <w:rsid w:val="00DF7CDD"/>
    <w:rsid w:val="00E01776"/>
    <w:rsid w:val="00E02174"/>
    <w:rsid w:val="00E021A7"/>
    <w:rsid w:val="00E034C9"/>
    <w:rsid w:val="00E04859"/>
    <w:rsid w:val="00E05AF0"/>
    <w:rsid w:val="00E05FE4"/>
    <w:rsid w:val="00E067D2"/>
    <w:rsid w:val="00E07C4A"/>
    <w:rsid w:val="00E10AC5"/>
    <w:rsid w:val="00E147E8"/>
    <w:rsid w:val="00E15331"/>
    <w:rsid w:val="00E16044"/>
    <w:rsid w:val="00E16958"/>
    <w:rsid w:val="00E20997"/>
    <w:rsid w:val="00E259E3"/>
    <w:rsid w:val="00E27172"/>
    <w:rsid w:val="00E3209E"/>
    <w:rsid w:val="00E33208"/>
    <w:rsid w:val="00E3575D"/>
    <w:rsid w:val="00E35B8F"/>
    <w:rsid w:val="00E36787"/>
    <w:rsid w:val="00E419AE"/>
    <w:rsid w:val="00E41F90"/>
    <w:rsid w:val="00E425FB"/>
    <w:rsid w:val="00E45827"/>
    <w:rsid w:val="00E47578"/>
    <w:rsid w:val="00E505AD"/>
    <w:rsid w:val="00E5302C"/>
    <w:rsid w:val="00E539AD"/>
    <w:rsid w:val="00E53B81"/>
    <w:rsid w:val="00E56D4C"/>
    <w:rsid w:val="00E615AA"/>
    <w:rsid w:val="00E62BB8"/>
    <w:rsid w:val="00E63061"/>
    <w:rsid w:val="00E64CC1"/>
    <w:rsid w:val="00E70518"/>
    <w:rsid w:val="00E7566A"/>
    <w:rsid w:val="00E76322"/>
    <w:rsid w:val="00E77860"/>
    <w:rsid w:val="00E806FB"/>
    <w:rsid w:val="00E836FE"/>
    <w:rsid w:val="00E8472A"/>
    <w:rsid w:val="00E8498C"/>
    <w:rsid w:val="00E906D2"/>
    <w:rsid w:val="00E91602"/>
    <w:rsid w:val="00E924F4"/>
    <w:rsid w:val="00E92679"/>
    <w:rsid w:val="00E927DA"/>
    <w:rsid w:val="00E927DD"/>
    <w:rsid w:val="00E928B3"/>
    <w:rsid w:val="00E92B9B"/>
    <w:rsid w:val="00E92E7E"/>
    <w:rsid w:val="00E975A0"/>
    <w:rsid w:val="00E97756"/>
    <w:rsid w:val="00EA06F6"/>
    <w:rsid w:val="00EA082C"/>
    <w:rsid w:val="00EA095D"/>
    <w:rsid w:val="00EA1BE3"/>
    <w:rsid w:val="00EA4475"/>
    <w:rsid w:val="00EA4AF1"/>
    <w:rsid w:val="00EA639B"/>
    <w:rsid w:val="00EA715E"/>
    <w:rsid w:val="00EB079F"/>
    <w:rsid w:val="00EB1980"/>
    <w:rsid w:val="00EB394A"/>
    <w:rsid w:val="00EB692F"/>
    <w:rsid w:val="00EB765D"/>
    <w:rsid w:val="00EB7B6B"/>
    <w:rsid w:val="00EB7E18"/>
    <w:rsid w:val="00EC1664"/>
    <w:rsid w:val="00EC3E58"/>
    <w:rsid w:val="00EC46AB"/>
    <w:rsid w:val="00ED115B"/>
    <w:rsid w:val="00ED1D1C"/>
    <w:rsid w:val="00ED3E43"/>
    <w:rsid w:val="00ED53B2"/>
    <w:rsid w:val="00ED5CAB"/>
    <w:rsid w:val="00ED5DBF"/>
    <w:rsid w:val="00EE39F8"/>
    <w:rsid w:val="00EE6734"/>
    <w:rsid w:val="00EE75D8"/>
    <w:rsid w:val="00EE7F12"/>
    <w:rsid w:val="00EF2305"/>
    <w:rsid w:val="00EF2ABC"/>
    <w:rsid w:val="00EF4648"/>
    <w:rsid w:val="00EF6B41"/>
    <w:rsid w:val="00EF75C3"/>
    <w:rsid w:val="00F00399"/>
    <w:rsid w:val="00F00633"/>
    <w:rsid w:val="00F00E53"/>
    <w:rsid w:val="00F00F33"/>
    <w:rsid w:val="00F02A56"/>
    <w:rsid w:val="00F07F87"/>
    <w:rsid w:val="00F15F3A"/>
    <w:rsid w:val="00F17E7F"/>
    <w:rsid w:val="00F218BD"/>
    <w:rsid w:val="00F22EE5"/>
    <w:rsid w:val="00F232E4"/>
    <w:rsid w:val="00F23C98"/>
    <w:rsid w:val="00F27108"/>
    <w:rsid w:val="00F271B2"/>
    <w:rsid w:val="00F27840"/>
    <w:rsid w:val="00F325E7"/>
    <w:rsid w:val="00F3698E"/>
    <w:rsid w:val="00F41E48"/>
    <w:rsid w:val="00F42EEE"/>
    <w:rsid w:val="00F469B3"/>
    <w:rsid w:val="00F4766B"/>
    <w:rsid w:val="00F50307"/>
    <w:rsid w:val="00F51EC3"/>
    <w:rsid w:val="00F52A86"/>
    <w:rsid w:val="00F53606"/>
    <w:rsid w:val="00F53960"/>
    <w:rsid w:val="00F54143"/>
    <w:rsid w:val="00F5480D"/>
    <w:rsid w:val="00F54BC7"/>
    <w:rsid w:val="00F55C2B"/>
    <w:rsid w:val="00F5694C"/>
    <w:rsid w:val="00F56FC7"/>
    <w:rsid w:val="00F621A7"/>
    <w:rsid w:val="00F62245"/>
    <w:rsid w:val="00F633E1"/>
    <w:rsid w:val="00F660A8"/>
    <w:rsid w:val="00F67BF1"/>
    <w:rsid w:val="00F67ED1"/>
    <w:rsid w:val="00F70668"/>
    <w:rsid w:val="00F733E7"/>
    <w:rsid w:val="00F73A3D"/>
    <w:rsid w:val="00F755DB"/>
    <w:rsid w:val="00F76073"/>
    <w:rsid w:val="00F76D7A"/>
    <w:rsid w:val="00F80D25"/>
    <w:rsid w:val="00F82D78"/>
    <w:rsid w:val="00F8483A"/>
    <w:rsid w:val="00F854C8"/>
    <w:rsid w:val="00F8558B"/>
    <w:rsid w:val="00F90DEE"/>
    <w:rsid w:val="00F91B07"/>
    <w:rsid w:val="00F91B8D"/>
    <w:rsid w:val="00F92AE9"/>
    <w:rsid w:val="00F93277"/>
    <w:rsid w:val="00F93B40"/>
    <w:rsid w:val="00F94454"/>
    <w:rsid w:val="00F94DF4"/>
    <w:rsid w:val="00F96081"/>
    <w:rsid w:val="00F9682C"/>
    <w:rsid w:val="00F9789C"/>
    <w:rsid w:val="00F97D55"/>
    <w:rsid w:val="00F97F66"/>
    <w:rsid w:val="00FA18DA"/>
    <w:rsid w:val="00FA2F0E"/>
    <w:rsid w:val="00FA40B1"/>
    <w:rsid w:val="00FA4B41"/>
    <w:rsid w:val="00FA74BE"/>
    <w:rsid w:val="00FB10B9"/>
    <w:rsid w:val="00FB17D5"/>
    <w:rsid w:val="00FB1B67"/>
    <w:rsid w:val="00FB694A"/>
    <w:rsid w:val="00FB70AA"/>
    <w:rsid w:val="00FC05D2"/>
    <w:rsid w:val="00FC1272"/>
    <w:rsid w:val="00FC3B41"/>
    <w:rsid w:val="00FC5BE6"/>
    <w:rsid w:val="00FC619A"/>
    <w:rsid w:val="00FC6232"/>
    <w:rsid w:val="00FC73FA"/>
    <w:rsid w:val="00FD0062"/>
    <w:rsid w:val="00FD0CB9"/>
    <w:rsid w:val="00FD5A80"/>
    <w:rsid w:val="00FE404C"/>
    <w:rsid w:val="00FE454B"/>
    <w:rsid w:val="00FE7F54"/>
    <w:rsid w:val="00FE7FF7"/>
    <w:rsid w:val="00FF0893"/>
    <w:rsid w:val="00FF72B5"/>
    <w:rsid w:val="05C47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toc 3"/>
    <w:basedOn w:val="1"/>
    <w:next w:val="1"/>
    <w:unhideWhenUsed/>
    <w:qFormat/>
    <w:uiPriority w:val="39"/>
    <w:pPr>
      <w:widowControl/>
      <w:spacing w:after="100" w:line="276" w:lineRule="auto"/>
      <w:ind w:left="440"/>
      <w:jc w:val="left"/>
    </w:pPr>
    <w:rPr>
      <w:kern w:val="0"/>
      <w:sz w:val="22"/>
    </w:rPr>
  </w:style>
  <w:style w:type="paragraph" w:styleId="5">
    <w:name w:val="Balloon Text"/>
    <w:basedOn w:val="1"/>
    <w:link w:val="20"/>
    <w:semiHidden/>
    <w:unhideWhenUsed/>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pPr>
      <w:widowControl/>
      <w:tabs>
        <w:tab w:val="right" w:leader="dot" w:pos="8296"/>
      </w:tabs>
      <w:spacing w:after="100" w:line="360" w:lineRule="auto"/>
      <w:jc w:val="left"/>
    </w:pPr>
    <w:rPr>
      <w:rFonts w:asciiTheme="minorEastAsia" w:hAnsiTheme="minorEastAsia"/>
      <w:b/>
      <w:kern w:val="0"/>
      <w:sz w:val="24"/>
      <w:szCs w:val="24"/>
    </w:rPr>
  </w:style>
  <w:style w:type="paragraph" w:styleId="9">
    <w:name w:val="footnote text"/>
    <w:basedOn w:val="1"/>
    <w:link w:val="21"/>
    <w:semiHidden/>
    <w:unhideWhenUsed/>
    <w:uiPriority w:val="99"/>
    <w:pPr>
      <w:snapToGrid w:val="0"/>
      <w:jc w:val="left"/>
    </w:pPr>
    <w:rPr>
      <w:sz w:val="18"/>
      <w:szCs w:val="18"/>
    </w:rPr>
  </w:style>
  <w:style w:type="paragraph" w:styleId="10">
    <w:name w:val="toc 2"/>
    <w:basedOn w:val="1"/>
    <w:next w:val="1"/>
    <w:unhideWhenUsed/>
    <w:qFormat/>
    <w:uiPriority w:val="39"/>
    <w:pPr>
      <w:widowControl/>
      <w:spacing w:after="100" w:line="276" w:lineRule="auto"/>
      <w:ind w:left="220"/>
      <w:jc w:val="left"/>
    </w:pPr>
    <w:rPr>
      <w:kern w:val="0"/>
      <w:sz w:val="22"/>
    </w:rPr>
  </w:style>
  <w:style w:type="character" w:styleId="13">
    <w:name w:val="Hyperlink"/>
    <w:basedOn w:val="12"/>
    <w:unhideWhenUsed/>
    <w:uiPriority w:val="99"/>
    <w:rPr>
      <w:color w:val="0563C1" w:themeColor="hyperlink"/>
      <w:u w:val="single"/>
    </w:rPr>
  </w:style>
  <w:style w:type="character" w:styleId="14">
    <w:name w:val="footnote reference"/>
    <w:basedOn w:val="12"/>
    <w:semiHidden/>
    <w:unhideWhenUsed/>
    <w:uiPriority w:val="99"/>
    <w:rPr>
      <w:vertAlign w:val="superscript"/>
    </w:rPr>
  </w:style>
  <w:style w:type="character" w:customStyle="1" w:styleId="15">
    <w:name w:val="页眉 Char"/>
    <w:basedOn w:val="12"/>
    <w:link w:val="7"/>
    <w:qFormat/>
    <w:uiPriority w:val="99"/>
    <w:rPr>
      <w:sz w:val="18"/>
      <w:szCs w:val="18"/>
    </w:rPr>
  </w:style>
  <w:style w:type="character" w:customStyle="1" w:styleId="16">
    <w:name w:val="页脚 Char"/>
    <w:basedOn w:val="12"/>
    <w:link w:val="6"/>
    <w:qFormat/>
    <w:uiPriority w:val="99"/>
    <w:rPr>
      <w:sz w:val="18"/>
      <w:szCs w:val="18"/>
    </w:rPr>
  </w:style>
  <w:style w:type="character" w:customStyle="1" w:styleId="17">
    <w:name w:val="标题 1 Char"/>
    <w:basedOn w:val="12"/>
    <w:link w:val="2"/>
    <w:qFormat/>
    <w:uiPriority w:val="9"/>
    <w:rPr>
      <w:b/>
      <w:bCs/>
      <w:kern w:val="44"/>
      <w:sz w:val="44"/>
      <w:szCs w:val="44"/>
    </w:rPr>
  </w:style>
  <w:style w:type="paragraph" w:customStyle="1" w:styleId="18">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character" w:customStyle="1" w:styleId="19">
    <w:name w:val="标题 2 Char"/>
    <w:basedOn w:val="12"/>
    <w:link w:val="3"/>
    <w:uiPriority w:val="9"/>
    <w:rPr>
      <w:rFonts w:asciiTheme="majorHAnsi" w:hAnsiTheme="majorHAnsi" w:eastAsiaTheme="majorEastAsia" w:cstheme="majorBidi"/>
      <w:b/>
      <w:bCs/>
      <w:sz w:val="32"/>
      <w:szCs w:val="32"/>
    </w:rPr>
  </w:style>
  <w:style w:type="character" w:customStyle="1" w:styleId="20">
    <w:name w:val="批注框文本 Char"/>
    <w:basedOn w:val="12"/>
    <w:link w:val="5"/>
    <w:semiHidden/>
    <w:uiPriority w:val="99"/>
    <w:rPr>
      <w:sz w:val="18"/>
      <w:szCs w:val="18"/>
    </w:rPr>
  </w:style>
  <w:style w:type="character" w:customStyle="1" w:styleId="21">
    <w:name w:val="脚注文本 Char"/>
    <w:basedOn w:val="12"/>
    <w:link w:val="9"/>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FDAFE4-7F0D-4E46-A67C-D4303DA84B5F}">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2034</Words>
  <Characters>11595</Characters>
  <Lines>96</Lines>
  <Paragraphs>27</Paragraphs>
  <TotalTime>276</TotalTime>
  <ScaleCrop>false</ScaleCrop>
  <LinksUpToDate>false</LinksUpToDate>
  <CharactersWithSpaces>13602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2024-08-05T08:32:00Z</dcterms:created>
  <dc:creator>刘雯</dc:creator>
  <cp:lastModifiedBy>未知</cp:lastModifiedBy>
  <cp:lastPrinted>2025-03-31T02:59:00Z</cp:lastPrinted>
  <dcterms:modified xsi:type="dcterms:W3CDTF">2025-04-24T11:35:20Z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E05F6824B9A64ECF9A2FBEDF24199F2A</vt:lpwstr>
  </property>
</Properties>
</file>