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heme="minorHAnsi" w:hAnsiTheme="minorHAnsi" w:eastAsiaTheme="minorEastAsia" w:cstheme="minorBidi"/>
          <w:b w:val="0"/>
          <w:bCs w:val="0"/>
          <w:color w:val="auto"/>
          <w:kern w:val="2"/>
          <w:sz w:val="21"/>
          <w:szCs w:val="22"/>
          <w:lang w:val="zh-CN"/>
        </w:rPr>
        <w:id w:val="591283940"/>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18"/>
            <w:spacing w:line="360" w:lineRule="auto"/>
            <w:jc w:val="center"/>
            <w:rPr>
              <w:color w:val="auto"/>
              <w:sz w:val="36"/>
              <w:szCs w:val="32"/>
            </w:rPr>
          </w:pPr>
          <w:bookmarkStart w:id="9" w:name="_GoBack"/>
          <w:bookmarkEnd w:id="9"/>
          <w:r>
            <w:rPr>
              <w:color w:val="auto"/>
              <w:sz w:val="36"/>
              <w:szCs w:val="32"/>
              <w:lang w:val="zh-CN"/>
            </w:rPr>
            <w:t>目录</w:t>
          </w:r>
        </w:p>
        <w:p>
          <w:pPr>
            <w:pStyle w:val="8"/>
            <w:rPr>
              <w:rFonts w:asciiTheme="minorHAnsi" w:hAnsiTheme="minorHAnsi"/>
              <w:b w:val="0"/>
              <w:kern w:val="2"/>
              <w:sz w:val="21"/>
              <w:szCs w:val="22"/>
            </w:rPr>
          </w:pPr>
          <w:r>
            <w:fldChar w:fldCharType="begin"/>
          </w:r>
          <w:r>
            <w:instrText xml:space="preserve"> TOC \o "1-3" \h \z \u </w:instrText>
          </w:r>
          <w:r>
            <w:fldChar w:fldCharType="separate"/>
          </w:r>
          <w:r>
            <w:fldChar w:fldCharType="begin"/>
          </w:r>
          <w:r>
            <w:instrText xml:space="preserve"> HYPERLINK \l "_Toc195277104" </w:instrText>
          </w:r>
          <w:r>
            <w:fldChar w:fldCharType="separate"/>
          </w:r>
          <w:r>
            <w:rPr>
              <w:rStyle w:val="13"/>
            </w:rPr>
            <w:t xml:space="preserve">1  </w:t>
          </w:r>
          <w:r>
            <w:rPr>
              <w:rStyle w:val="13"/>
              <w:rFonts w:hint="eastAsia"/>
            </w:rPr>
            <w:t>引言</w:t>
          </w:r>
          <w:r>
            <w:tab/>
          </w:r>
          <w:r>
            <w:fldChar w:fldCharType="begin"/>
          </w:r>
          <w:r>
            <w:instrText xml:space="preserve"> PAGEREF _Toc195277104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"_Toc195277105" </w:instrText>
          </w:r>
          <w:r>
            <w:fldChar w:fldCharType="separate"/>
          </w:r>
          <w:r>
            <w:rPr>
              <w:rStyle w:val="13"/>
              <w:rFonts w:asciiTheme="minorEastAsia" w:hAnsiTheme="minorEastAsia"/>
            </w:rPr>
            <w:t xml:space="preserve">1.1  </w:t>
          </w:r>
          <w:r>
            <w:rPr>
              <w:rStyle w:val="13"/>
              <w:rFonts w:hint="eastAsia" w:asciiTheme="minorEastAsia" w:hAnsiTheme="minorEastAsia"/>
            </w:rPr>
            <w:t>披露依据</w:t>
          </w:r>
          <w:r>
            <w:tab/>
          </w:r>
          <w:r>
            <w:fldChar w:fldCharType="begin"/>
          </w:r>
          <w:r>
            <w:instrText xml:space="preserve"> PAGEREF _Toc195277105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"_Toc195277106" </w:instrText>
          </w:r>
          <w:r>
            <w:fldChar w:fldCharType="separate"/>
          </w:r>
          <w:r>
            <w:rPr>
              <w:rStyle w:val="13"/>
              <w:rFonts w:asciiTheme="minorEastAsia" w:hAnsiTheme="minorEastAsia"/>
            </w:rPr>
            <w:t xml:space="preserve">1.2  </w:t>
          </w:r>
          <w:r>
            <w:rPr>
              <w:rStyle w:val="13"/>
              <w:rFonts w:hint="eastAsia" w:asciiTheme="minorEastAsia" w:hAnsiTheme="minorEastAsia"/>
            </w:rPr>
            <w:t>披露声明</w:t>
          </w:r>
          <w:r>
            <w:tab/>
          </w:r>
          <w:r>
            <w:fldChar w:fldCharType="begin"/>
          </w:r>
          <w:r>
            <w:instrText xml:space="preserve"> PAGEREF _Toc195277106 \h </w:instrText>
          </w:r>
          <w:r>
            <w:fldChar w:fldCharType="separate"/>
          </w:r>
          <w:r>
            <w:t>1</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"_Toc195277107" </w:instrText>
          </w:r>
          <w:r>
            <w:fldChar w:fldCharType="separate"/>
          </w:r>
          <w:r>
            <w:rPr>
              <w:rStyle w:val="13"/>
            </w:rPr>
            <w:t xml:space="preserve">2  </w:t>
          </w:r>
          <w:r>
            <w:rPr>
              <w:rStyle w:val="13"/>
              <w:rFonts w:hint="eastAsia"/>
            </w:rPr>
            <w:t>风险管理、关键审慎监管指标和风险加权资产概览</w:t>
          </w:r>
          <w:r>
            <w:tab/>
          </w:r>
          <w:r>
            <w:fldChar w:fldCharType="begin"/>
          </w:r>
          <w:r>
            <w:instrText xml:space="preserve"> PAGEREF _Toc195277107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"_Toc195277108" </w:instrText>
          </w:r>
          <w:r>
            <w:fldChar w:fldCharType="separate"/>
          </w:r>
          <w:r>
            <w:rPr>
              <w:rStyle w:val="13"/>
              <w:rFonts w:asciiTheme="minorEastAsia" w:hAnsiTheme="minorEastAsia"/>
            </w:rPr>
            <w:t xml:space="preserve">2.1  KM1 </w:t>
          </w:r>
          <w:r>
            <w:rPr>
              <w:rStyle w:val="13"/>
              <w:rFonts w:hint="eastAsia" w:asciiTheme="minorEastAsia" w:hAnsiTheme="minorEastAsia"/>
            </w:rPr>
            <w:t>关键审慎监管指标</w:t>
          </w:r>
          <w:r>
            <w:tab/>
          </w:r>
          <w:r>
            <w:fldChar w:fldCharType="begin"/>
          </w:r>
          <w:r>
            <w:instrText xml:space="preserve"> PAGEREF _Toc195277108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"_Toc195277109" </w:instrText>
          </w:r>
          <w:r>
            <w:fldChar w:fldCharType="separate"/>
          </w:r>
          <w:r>
            <w:rPr>
              <w:rStyle w:val="13"/>
              <w:rFonts w:asciiTheme="minorEastAsia" w:hAnsiTheme="minorEastAsia"/>
            </w:rPr>
            <w:t xml:space="preserve">2.2  </w:t>
          </w:r>
          <w:r>
            <w:rPr>
              <w:rStyle w:val="13"/>
              <w:rFonts w:cs="Times New Roman" w:asciiTheme="minorEastAsia" w:hAnsiTheme="minorEastAsia"/>
            </w:rPr>
            <w:t xml:space="preserve">OV1 </w:t>
          </w:r>
          <w:r>
            <w:rPr>
              <w:rStyle w:val="13"/>
              <w:rFonts w:hint="eastAsia" w:asciiTheme="minorEastAsia" w:hAnsiTheme="minorEastAsia"/>
            </w:rPr>
            <w:t>风险加权资产概况</w:t>
          </w:r>
          <w:r>
            <w:tab/>
          </w:r>
          <w:r>
            <w:fldChar w:fldCharType="begin"/>
          </w:r>
          <w:r>
            <w:instrText xml:space="preserve"> PAGEREF _Toc195277109 \h </w:instrText>
          </w:r>
          <w:r>
            <w:fldChar w:fldCharType="separate"/>
          </w:r>
          <w:r>
            <w:t>2</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"_Toc195277110" </w:instrText>
          </w:r>
          <w:r>
            <w:fldChar w:fldCharType="separate"/>
          </w:r>
          <w:r>
            <w:rPr>
              <w:rStyle w:val="13"/>
            </w:rPr>
            <w:t xml:space="preserve">3  </w:t>
          </w:r>
          <w:r>
            <w:rPr>
              <w:rStyle w:val="13"/>
              <w:rFonts w:hint="eastAsia"/>
            </w:rPr>
            <w:t>杠杆率</w:t>
          </w:r>
          <w:r>
            <w:tab/>
          </w:r>
          <w:r>
            <w:fldChar w:fldCharType="begin"/>
          </w:r>
          <w:r>
            <w:instrText xml:space="preserve"> PAGEREF _Toc195277110 \h </w:instrText>
          </w:r>
          <w:r>
            <w:fldChar w:fldCharType="separate"/>
          </w:r>
          <w:r>
            <w:t>4</w:t>
          </w:r>
          <w:r>
            <w:fldChar w:fldCharType="end"/>
          </w:r>
          <w:r>
            <w:fldChar w:fldCharType="end"/>
          </w:r>
        </w:p>
        <w:p>
          <w:pPr>
            <w:pStyle w:val="10"/>
            <w:tabs>
              <w:tab w:val="right" w:leader="dot" w:pos="8302"/>
            </w:tabs>
            <w:rPr>
              <w:kern w:val="2"/>
              <w:sz w:val="21"/>
            </w:rPr>
          </w:pPr>
          <w:r>
            <w:fldChar w:fldCharType="begin"/>
          </w:r>
          <w:r>
            <w:instrText xml:space="preserve"> HYPERLINK \l "_Toc195277111" </w:instrText>
          </w:r>
          <w:r>
            <w:fldChar w:fldCharType="separate"/>
          </w:r>
          <w:r>
            <w:rPr>
              <w:rStyle w:val="13"/>
              <w:rFonts w:asciiTheme="minorEastAsia" w:hAnsiTheme="minorEastAsia"/>
            </w:rPr>
            <w:t xml:space="preserve">3.1  </w:t>
          </w:r>
          <w:r>
            <w:rPr>
              <w:rStyle w:val="13"/>
              <w:rFonts w:cs="Times New Roman" w:asciiTheme="minorEastAsia" w:hAnsiTheme="minorEastAsia"/>
            </w:rPr>
            <w:t xml:space="preserve">LR1 </w:t>
          </w:r>
          <w:r>
            <w:rPr>
              <w:rStyle w:val="13"/>
              <w:rFonts w:hint="eastAsia" w:asciiTheme="minorEastAsia" w:hAnsiTheme="minorEastAsia"/>
            </w:rPr>
            <w:t>杠杆率监管项目与相关会计项目的差异</w:t>
          </w:r>
          <w:r>
            <w:tab/>
          </w:r>
          <w:r>
            <w:fldChar w:fldCharType="begin"/>
          </w:r>
          <w:r>
            <w:instrText xml:space="preserve"> PAGEREF _Toc195277111 \h </w:instrText>
          </w:r>
          <w:r>
            <w:fldChar w:fldCharType="separate"/>
          </w:r>
          <w:r>
            <w:t>4</w:t>
          </w:r>
          <w:r>
            <w:fldChar w:fldCharType="end"/>
          </w:r>
          <w:r>
            <w:fldChar w:fldCharType="end"/>
          </w:r>
        </w:p>
        <w:p>
          <w:pPr>
            <w:pStyle w:val="10"/>
            <w:tabs>
              <w:tab w:val="right" w:leader="dot" w:pos="8302"/>
            </w:tabs>
            <w:rPr>
              <w:kern w:val="2"/>
              <w:sz w:val="21"/>
            </w:rPr>
          </w:pPr>
          <w:r>
            <w:fldChar w:fldCharType="begin"/>
          </w:r>
          <w:r>
            <w:instrText xml:space="preserve"> HYPERLINK \l "_Toc195277112" </w:instrText>
          </w:r>
          <w:r>
            <w:fldChar w:fldCharType="separate"/>
          </w:r>
          <w:r>
            <w:rPr>
              <w:rStyle w:val="13"/>
              <w:rFonts w:asciiTheme="minorEastAsia" w:hAnsiTheme="minorEastAsia"/>
            </w:rPr>
            <w:t xml:space="preserve">3.2  </w:t>
          </w:r>
          <w:r>
            <w:rPr>
              <w:rStyle w:val="13"/>
              <w:rFonts w:cs="Times New Roman" w:asciiTheme="minorEastAsia" w:hAnsiTheme="minorEastAsia"/>
            </w:rPr>
            <w:t xml:space="preserve">LR2 </w:t>
          </w:r>
          <w:r>
            <w:rPr>
              <w:rStyle w:val="13"/>
              <w:rFonts w:hint="eastAsia" w:asciiTheme="minorEastAsia" w:hAnsiTheme="minorEastAsia"/>
            </w:rPr>
            <w:t>杠杆率</w:t>
          </w:r>
          <w:r>
            <w:tab/>
          </w:r>
          <w:r>
            <w:fldChar w:fldCharType="begin"/>
          </w:r>
          <w:r>
            <w:instrText xml:space="preserve"> PAGEREF _Toc195277112 \h </w:instrText>
          </w:r>
          <w:r>
            <w:fldChar w:fldCharType="separate"/>
          </w:r>
          <w:r>
            <w:t>5</w:t>
          </w:r>
          <w:r>
            <w:fldChar w:fldCharType="end"/>
          </w:r>
          <w:r>
            <w:fldChar w:fldCharType="end"/>
          </w:r>
        </w:p>
        <w:p>
          <w:pPr>
            <w:spacing w:line="360" w:lineRule="auto"/>
          </w:pPr>
          <w:r>
            <w:rPr>
              <w:rFonts w:asciiTheme="minorEastAsia" w:hAnsiTheme="minorEastAsia"/>
              <w:b/>
              <w:bCs/>
              <w:sz w:val="24"/>
              <w:szCs w:val="24"/>
              <w:lang w:val="zh-CN"/>
            </w:rPr>
            <w:fldChar w:fldCharType="end"/>
          </w:r>
        </w:p>
      </w:sdtContent>
    </w:sdt>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pStyle w:val="2"/>
        <w:spacing w:before="0" w:after="0" w:line="360" w:lineRule="auto"/>
        <w:rPr>
          <w:rFonts w:asciiTheme="minorEastAsia" w:hAnsiTheme="minorEastAsia"/>
          <w:sz w:val="28"/>
          <w:szCs w:val="24"/>
        </w:rPr>
        <w:sectPr>
          <w:pgSz w:w="11906" w:h="16838"/>
          <w:pgMar w:top="1304" w:right="1797" w:bottom="1304" w:left="1797" w:header="851" w:footer="992" w:gutter="0"/>
          <w:cols w:space="425" w:num="1"/>
          <w:docGrid w:type="lines" w:linePitch="312" w:charSpace="0"/>
        </w:sectPr>
      </w:pPr>
    </w:p>
    <w:p>
      <w:pPr>
        <w:pStyle w:val="2"/>
        <w:spacing w:before="0" w:after="0" w:line="360" w:lineRule="auto"/>
        <w:rPr>
          <w:rFonts w:asciiTheme="minorEastAsia" w:hAnsiTheme="minorEastAsia"/>
          <w:sz w:val="28"/>
          <w:szCs w:val="24"/>
        </w:rPr>
      </w:pPr>
      <w:bookmarkStart w:id="0" w:name="_Toc195277104"/>
      <w:r>
        <w:rPr>
          <w:rFonts w:hint="eastAsia" w:asciiTheme="minorEastAsia" w:hAnsiTheme="minorEastAsia"/>
          <w:sz w:val="28"/>
          <w:szCs w:val="24"/>
        </w:rPr>
        <w:t>1</w:t>
      </w:r>
      <w:r>
        <w:rPr>
          <w:rFonts w:asciiTheme="minorEastAsia" w:hAnsiTheme="minorEastAsia"/>
          <w:sz w:val="28"/>
          <w:szCs w:val="24"/>
        </w:rPr>
        <w:t xml:space="preserve">  </w:t>
      </w:r>
      <w:r>
        <w:rPr>
          <w:rFonts w:hint="eastAsia" w:asciiTheme="minorEastAsia" w:hAnsiTheme="minorEastAsia"/>
          <w:sz w:val="28"/>
          <w:szCs w:val="24"/>
        </w:rPr>
        <w:t>引言</w:t>
      </w:r>
      <w:bookmarkEnd w:id="0"/>
    </w:p>
    <w:p>
      <w:pPr>
        <w:pStyle w:val="3"/>
        <w:spacing w:before="0" w:after="0" w:line="360" w:lineRule="auto"/>
        <w:rPr>
          <w:rFonts w:asciiTheme="minorEastAsia" w:hAnsiTheme="minorEastAsia" w:eastAsiaTheme="minorEastAsia"/>
          <w:sz w:val="24"/>
          <w:szCs w:val="24"/>
        </w:rPr>
      </w:pPr>
      <w:bookmarkStart w:id="1" w:name="_Toc195277105"/>
      <w:r>
        <w:rPr>
          <w:rFonts w:hint="eastAsia" w:asciiTheme="minorEastAsia" w:hAnsiTheme="minorEastAsia" w:eastAsiaTheme="minorEastAsia"/>
          <w:sz w:val="24"/>
          <w:szCs w:val="24"/>
        </w:rPr>
        <w:t>1.1</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披露依据</w:t>
      </w:r>
      <w:bookmarkEnd w:id="1"/>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本报告根据国家金融监督管理总局令第4号《商业银行资本管理办法》编制并披露。</w:t>
      </w:r>
    </w:p>
    <w:p>
      <w:pPr>
        <w:pStyle w:val="3"/>
        <w:spacing w:before="0" w:after="0" w:line="360" w:lineRule="auto"/>
        <w:rPr>
          <w:rFonts w:asciiTheme="minorEastAsia" w:hAnsiTheme="minorEastAsia" w:eastAsiaTheme="minorEastAsia"/>
          <w:sz w:val="24"/>
          <w:szCs w:val="24"/>
        </w:rPr>
      </w:pPr>
      <w:bookmarkStart w:id="2" w:name="_Toc195277106"/>
      <w:r>
        <w:rPr>
          <w:rFonts w:hint="eastAsia" w:asciiTheme="minorEastAsia" w:hAnsiTheme="minorEastAsia" w:eastAsiaTheme="minorEastAsia"/>
          <w:sz w:val="24"/>
          <w:szCs w:val="24"/>
        </w:rPr>
        <w:t>1.2</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披露声明</w:t>
      </w:r>
      <w:bookmarkEnd w:id="2"/>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本公司已建立第三支柱信息披露管理治理架构，由本公司董事会批准并由高级管理层实施有效的内部控制流程，对信息披露内容进行合理审查，确保第三支柱披露信息真实、可靠。</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是按照国家金融监督管理总局《商业银行资本管理办法》正文第九章信息披露及附件22商业银行信息披露内容和要求编制，而非财务会计准则。因此，报告中的部分资料并不能与同期财务报告的信息直接进行比较。</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本报告除特别注明外，均以千元为单位，因四舍五入可能存在数据尾差。</w:t>
      </w: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8"/>
        </w:rPr>
      </w:pPr>
      <w:bookmarkStart w:id="3" w:name="_Toc195277107"/>
      <w:r>
        <w:rPr>
          <w:rFonts w:hint="eastAsia" w:asciiTheme="minorEastAsia" w:hAnsiTheme="minorEastAsia"/>
          <w:sz w:val="28"/>
          <w:szCs w:val="28"/>
        </w:rPr>
        <w:t>2</w:t>
      </w:r>
      <w:r>
        <w:rPr>
          <w:rFonts w:asciiTheme="minorEastAsia" w:hAnsiTheme="minorEastAsia"/>
          <w:sz w:val="28"/>
          <w:szCs w:val="28"/>
        </w:rPr>
        <w:t xml:space="preserve">  </w:t>
      </w:r>
      <w:r>
        <w:rPr>
          <w:rFonts w:hint="eastAsia" w:asciiTheme="minorEastAsia" w:hAnsiTheme="minorEastAsia"/>
          <w:sz w:val="28"/>
          <w:szCs w:val="28"/>
        </w:rPr>
        <w:t>风险管理、关键审慎监管指标和风险加权资产概览</w:t>
      </w:r>
      <w:bookmarkEnd w:id="3"/>
    </w:p>
    <w:p>
      <w:pPr>
        <w:pStyle w:val="3"/>
        <w:spacing w:before="0" w:after="0" w:line="360" w:lineRule="auto"/>
        <w:rPr>
          <w:rFonts w:asciiTheme="minorEastAsia" w:hAnsiTheme="minorEastAsia" w:eastAsiaTheme="minorEastAsia"/>
          <w:sz w:val="24"/>
          <w:szCs w:val="24"/>
        </w:rPr>
      </w:pPr>
      <w:bookmarkStart w:id="4" w:name="_Toc195277108"/>
      <w:r>
        <w:rPr>
          <w:rFonts w:hint="eastAsia" w:asciiTheme="minorEastAsia" w:hAnsiTheme="minorEastAsia" w:eastAsiaTheme="minorEastAsia"/>
          <w:sz w:val="24"/>
          <w:szCs w:val="24"/>
        </w:rPr>
        <w:t>2.1</w:t>
      </w:r>
      <w:r>
        <w:rPr>
          <w:rFonts w:asciiTheme="minorEastAsia" w:hAnsiTheme="minorEastAsia" w:eastAsiaTheme="minorEastAsia"/>
          <w:sz w:val="24"/>
          <w:szCs w:val="24"/>
        </w:rPr>
        <w:t xml:space="preserve">  KM1 </w:t>
      </w:r>
      <w:r>
        <w:rPr>
          <w:rFonts w:hint="eastAsia" w:asciiTheme="minorEastAsia" w:hAnsiTheme="minorEastAsia" w:eastAsiaTheme="minorEastAsia"/>
          <w:sz w:val="24"/>
          <w:szCs w:val="24"/>
        </w:rPr>
        <w:t>关键审慎监管指标</w:t>
      </w:r>
      <w:bookmarkEnd w:id="4"/>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关键审慎监管指标包括资本充足率、杠杆率以及流动性风险相关的指标。本公司关键审慎监管指标概览如下：</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表格KM1：监管并表关键审慎监管指标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11727" w:type="dxa"/>
        <w:jc w:val="center"/>
        <w:tblLayout w:type="autofit"/>
        <w:tblCellMar>
          <w:top w:w="0" w:type="dxa"/>
          <w:left w:w="108" w:type="dxa"/>
          <w:bottom w:w="0" w:type="dxa"/>
          <w:right w:w="108" w:type="dxa"/>
        </w:tblCellMar>
      </w:tblPr>
      <w:tblGrid>
        <w:gridCol w:w="1080"/>
        <w:gridCol w:w="2851"/>
        <w:gridCol w:w="1559"/>
        <w:gridCol w:w="1559"/>
        <w:gridCol w:w="1559"/>
        <w:gridCol w:w="1559"/>
        <w:gridCol w:w="1560"/>
      </w:tblGrid>
      <w:tr>
        <w:tblPrEx>
          <w:tblCellMar>
            <w:top w:w="0" w:type="dxa"/>
            <w:left w:w="108" w:type="dxa"/>
            <w:bottom w:w="0" w:type="dxa"/>
            <w:right w:w="108" w:type="dxa"/>
          </w:tblCellMar>
        </w:tblPrEx>
        <w:trPr>
          <w:trHeight w:val="270" w:hRule="atLeast"/>
          <w:tblHeader/>
          <w:jc w:val="center"/>
        </w:trPr>
        <w:tc>
          <w:tcPr>
            <w:tcW w:w="393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bookmarkStart w:id="5" w:name="_Toc195277109"/>
            <w:r>
              <w:rPr>
                <w:rFonts w:hint="eastAsia" w:ascii="宋体" w:hAnsi="宋体" w:eastAsia="宋体" w:cs="宋体"/>
                <w:color w:val="000000"/>
                <w:kern w:val="0"/>
                <w:szCs w:val="21"/>
              </w:rPr>
              <w:t>　</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d</w:t>
            </w:r>
          </w:p>
        </w:tc>
        <w:tc>
          <w:tcPr>
            <w:tcW w:w="1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e</w:t>
            </w:r>
          </w:p>
        </w:tc>
      </w:tr>
      <w:tr>
        <w:tblPrEx>
          <w:tblCellMar>
            <w:top w:w="0" w:type="dxa"/>
            <w:left w:w="108" w:type="dxa"/>
            <w:bottom w:w="0" w:type="dxa"/>
            <w:right w:w="108" w:type="dxa"/>
          </w:tblCellMar>
        </w:tblPrEx>
        <w:trPr>
          <w:trHeight w:val="510" w:hRule="atLeast"/>
          <w:tblHeader/>
          <w:jc w:val="center"/>
        </w:trPr>
        <w:tc>
          <w:tcPr>
            <w:tcW w:w="393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2025年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3月31日</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12月31日</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6月30日</w:t>
            </w:r>
          </w:p>
        </w:tc>
        <w:tc>
          <w:tcPr>
            <w:tcW w:w="1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3月31日</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可用资本（数额）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核心一级资本净额</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19,716,447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19,606,006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18,476,312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19,716,447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19,606,006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18,476,312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资本净额</w:t>
            </w:r>
          </w:p>
        </w:tc>
        <w:tc>
          <w:tcPr>
            <w:tcW w:w="1559"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23,823,740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23,626,846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24,356,328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25,660,053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25,222,021 </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风险加权资产（数额）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187,787,508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181,810,343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185,165,874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182,073,474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182,544,081 </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资本充足率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核心一级资本充足率（%）</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10.78</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10.37</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10.12</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一级资本充足率（%）</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10.78</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10.37</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10.12</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资本充足率（%）</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w:t>
            </w:r>
            <w:r>
              <w:rPr>
                <w:rFonts w:ascii="宋体" w:hAnsi="宋体" w:eastAsia="宋体" w:cs="宋体"/>
                <w:color w:val="000000"/>
                <w:kern w:val="0"/>
                <w:szCs w:val="21"/>
              </w:rPr>
              <w:t>2</w:t>
            </w:r>
            <w:r>
              <w:rPr>
                <w:rFonts w:hint="eastAsia" w:ascii="宋体" w:hAnsi="宋体" w:eastAsia="宋体" w:cs="宋体"/>
                <w:color w:val="000000"/>
                <w:kern w:val="0"/>
                <w:szCs w:val="21"/>
              </w:rPr>
              <w:t>.6</w:t>
            </w:r>
            <w:r>
              <w:rPr>
                <w:rFonts w:ascii="宋体" w:hAnsi="宋体" w:eastAsia="宋体" w:cs="宋体"/>
                <w:color w:val="000000"/>
                <w:kern w:val="0"/>
                <w:szCs w:val="21"/>
              </w:rPr>
              <w:t>9</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13.00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13.15</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14.09</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13.82</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其他各级资本要求</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储备资本要求（%）</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逆周期资本要求（%）</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全球系统重要性银行或国内系统重要性银行附加资本要求（%）</w:t>
            </w:r>
          </w:p>
        </w:tc>
        <w:tc>
          <w:tcPr>
            <w:tcW w:w="1559"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59"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59"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59"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60"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其他各级资本要求（%）（8+9+10）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765"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满足最低资本要求后的可用核心一级资本净额占风险加权资产的比例（%）</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ascii="宋体" w:hAnsi="宋体" w:eastAsia="宋体" w:cs="宋体"/>
                <w:color w:val="000000"/>
                <w:kern w:val="0"/>
                <w:szCs w:val="21"/>
              </w:rPr>
              <w:t>4.50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4.78</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4.46</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4.37</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4.12</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307,352,280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301,225,105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300,314,887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299,155,231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289,892,585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6.41</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6.51</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6.37</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14a</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6.41</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6.51</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6.37</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流动性覆盖率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合格优质流动性资产</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38,244,628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27,949,840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21,983,053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27,179,145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28,301,182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现金净流出量</w:t>
            </w:r>
          </w:p>
        </w:tc>
        <w:tc>
          <w:tcPr>
            <w:tcW w:w="1559"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32,025,372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18,579,701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13,074,040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18,369,519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25,175,238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流动性覆盖率（%）</w:t>
            </w:r>
          </w:p>
        </w:tc>
        <w:tc>
          <w:tcPr>
            <w:tcW w:w="1559"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119.42</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150.43</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168.14</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147.96</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112.42</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净稳定资金比例</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可用稳定资金合计</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204,044,797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194,994,315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196,343,437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192,956,427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188,925,846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所需稳定资金合计</w:t>
            </w:r>
          </w:p>
        </w:tc>
        <w:tc>
          <w:tcPr>
            <w:tcW w:w="1559"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151,934,087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144,379,624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147,314,572 </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145,651,677 </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145,091,780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2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净稳定资金比例（%）</w:t>
            </w:r>
          </w:p>
        </w:tc>
        <w:tc>
          <w:tcPr>
            <w:tcW w:w="1559"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134.30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135.06</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133.28</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132.48</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130.21</w:t>
            </w:r>
          </w:p>
        </w:tc>
      </w:tr>
      <w:tr>
        <w:tblPrEx>
          <w:tblCellMar>
            <w:top w:w="0" w:type="dxa"/>
            <w:left w:w="108" w:type="dxa"/>
            <w:bottom w:w="0" w:type="dxa"/>
            <w:right w:w="108" w:type="dxa"/>
          </w:tblCellMar>
        </w:tblPrEx>
        <w:trPr>
          <w:trHeight w:val="270" w:hRule="atLeast"/>
          <w:jc w:val="center"/>
        </w:trPr>
        <w:tc>
          <w:tcPr>
            <w:tcW w:w="11727" w:type="dxa"/>
            <w:gridSpan w:val="7"/>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流动性比例</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285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流动性比例（%）</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73.59</w:t>
            </w:r>
          </w:p>
        </w:tc>
        <w:tc>
          <w:tcPr>
            <w:tcW w:w="1559"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94.00</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78.99</w:t>
            </w:r>
          </w:p>
        </w:tc>
        <w:tc>
          <w:tcPr>
            <w:tcW w:w="1559"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80.05</w:t>
            </w:r>
          </w:p>
        </w:tc>
        <w:tc>
          <w:tcPr>
            <w:tcW w:w="15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67.84</w:t>
            </w:r>
          </w:p>
        </w:tc>
      </w:tr>
    </w:tbl>
    <w:p>
      <w:pPr>
        <w:pStyle w:val="3"/>
        <w:spacing w:before="0" w:after="0"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2.2</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OV1 </w:t>
      </w:r>
      <w:r>
        <w:rPr>
          <w:rFonts w:hint="eastAsia" w:asciiTheme="minorEastAsia" w:hAnsiTheme="minorEastAsia" w:eastAsiaTheme="minorEastAsia"/>
          <w:sz w:val="24"/>
          <w:szCs w:val="24"/>
        </w:rPr>
        <w:t>风险加权资产概况</w:t>
      </w:r>
      <w:bookmarkEnd w:id="5"/>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下表列示本公司第一支柱风险加权资产和资本要求。</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表格OV1：风险加权资产概况</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10300" w:type="dxa"/>
        <w:jc w:val="center"/>
        <w:tblLayout w:type="autofit"/>
        <w:tblCellMar>
          <w:top w:w="0" w:type="dxa"/>
          <w:left w:w="108" w:type="dxa"/>
          <w:bottom w:w="0" w:type="dxa"/>
          <w:right w:w="108" w:type="dxa"/>
        </w:tblCellMar>
      </w:tblPr>
      <w:tblGrid>
        <w:gridCol w:w="1080"/>
        <w:gridCol w:w="4060"/>
        <w:gridCol w:w="1720"/>
        <w:gridCol w:w="1720"/>
        <w:gridCol w:w="1720"/>
      </w:tblGrid>
      <w:tr>
        <w:tblPrEx>
          <w:tblCellMar>
            <w:top w:w="0" w:type="dxa"/>
            <w:left w:w="108" w:type="dxa"/>
            <w:bottom w:w="0" w:type="dxa"/>
            <w:right w:w="108" w:type="dxa"/>
          </w:tblCellMar>
        </w:tblPrEx>
        <w:trPr>
          <w:trHeight w:val="270" w:hRule="atLeast"/>
          <w:tblHeader/>
          <w:jc w:val="center"/>
        </w:trPr>
        <w:tc>
          <w:tcPr>
            <w:tcW w:w="51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70" w:hRule="atLeast"/>
          <w:tblHeader/>
          <w:jc w:val="center"/>
        </w:trPr>
        <w:tc>
          <w:tcPr>
            <w:tcW w:w="51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344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最低资本要求</w:t>
            </w:r>
          </w:p>
        </w:tc>
      </w:tr>
      <w:tr>
        <w:tblPrEx>
          <w:tblCellMar>
            <w:top w:w="0" w:type="dxa"/>
            <w:left w:w="108" w:type="dxa"/>
            <w:bottom w:w="0" w:type="dxa"/>
            <w:right w:w="108" w:type="dxa"/>
          </w:tblCellMar>
        </w:tblPrEx>
        <w:trPr>
          <w:trHeight w:val="510" w:hRule="atLeast"/>
          <w:tblHeader/>
          <w:jc w:val="center"/>
        </w:trPr>
        <w:tc>
          <w:tcPr>
            <w:tcW w:w="51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olor w:val="000000"/>
                <w:szCs w:val="21"/>
              </w:rPr>
            </w:pPr>
            <w:r>
              <w:rPr>
                <w:rFonts w:hint="eastAsia" w:ascii="宋体" w:hAnsi="宋体" w:eastAsia="宋体"/>
                <w:color w:val="000000"/>
                <w:szCs w:val="21"/>
              </w:rPr>
              <w:t>2025年</w:t>
            </w:r>
            <w:r>
              <w:rPr>
                <w:rFonts w:hint="eastAsia" w:ascii="宋体" w:hAnsi="宋体" w:eastAsia="宋体"/>
                <w:color w:val="000000"/>
                <w:szCs w:val="21"/>
              </w:rPr>
              <w:br w:type="textWrapping"/>
            </w:r>
            <w:r>
              <w:rPr>
                <w:rFonts w:hint="eastAsia" w:ascii="宋体" w:hAnsi="宋体" w:eastAsia="宋体"/>
                <w:color w:val="000000"/>
                <w:szCs w:val="21"/>
              </w:rPr>
              <w:t>3月31日</w:t>
            </w:r>
          </w:p>
        </w:tc>
        <w:tc>
          <w:tcPr>
            <w:tcW w:w="172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olor w:val="000000"/>
                <w:szCs w:val="21"/>
              </w:rPr>
            </w:pPr>
            <w:r>
              <w:rPr>
                <w:rFonts w:hint="eastAsia" w:ascii="宋体" w:hAnsi="宋体" w:eastAsia="宋体"/>
                <w:color w:val="000000"/>
                <w:szCs w:val="21"/>
              </w:rPr>
              <w:t>2024年</w:t>
            </w:r>
            <w:r>
              <w:rPr>
                <w:rFonts w:hint="eastAsia" w:ascii="宋体" w:hAnsi="宋体" w:eastAsia="宋体"/>
                <w:color w:val="000000"/>
                <w:szCs w:val="21"/>
              </w:rPr>
              <w:br w:type="textWrapping"/>
            </w:r>
            <w:r>
              <w:rPr>
                <w:rFonts w:hint="eastAsia" w:ascii="宋体" w:hAnsi="宋体" w:eastAsia="宋体"/>
                <w:color w:val="000000"/>
                <w:szCs w:val="21"/>
              </w:rPr>
              <w:t>12月31日</w:t>
            </w:r>
          </w:p>
        </w:tc>
        <w:tc>
          <w:tcPr>
            <w:tcW w:w="172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olor w:val="000000"/>
                <w:szCs w:val="21"/>
              </w:rPr>
            </w:pPr>
            <w:r>
              <w:rPr>
                <w:rFonts w:hint="eastAsia" w:ascii="宋体" w:hAnsi="宋体" w:eastAsia="宋体"/>
                <w:color w:val="000000"/>
                <w:szCs w:val="21"/>
              </w:rPr>
              <w:t>2025年</w:t>
            </w:r>
            <w:r>
              <w:rPr>
                <w:rFonts w:hint="eastAsia" w:ascii="宋体" w:hAnsi="宋体" w:eastAsia="宋体"/>
                <w:color w:val="000000"/>
                <w:szCs w:val="21"/>
              </w:rPr>
              <w:br w:type="textWrapping"/>
            </w:r>
            <w:r>
              <w:rPr>
                <w:rFonts w:hint="eastAsia" w:ascii="宋体" w:hAnsi="宋体" w:eastAsia="宋体"/>
                <w:color w:val="000000"/>
                <w:szCs w:val="21"/>
              </w:rPr>
              <w:t>3月31日</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信用风险</w:t>
            </w:r>
          </w:p>
        </w:tc>
        <w:tc>
          <w:tcPr>
            <w:tcW w:w="17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179,658,683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173,608,856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14,372,695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市场风险</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145,585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218,247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11,647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操作风险</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7,983,240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7,983,240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638,659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交易账簿和银行账簿间转换的资本要求</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合计</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187,787,508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181,810,343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15,023,001 </w:t>
            </w:r>
          </w:p>
        </w:tc>
      </w:tr>
    </w:tbl>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4"/>
        </w:rPr>
      </w:pPr>
      <w:bookmarkStart w:id="6" w:name="_Toc195277110"/>
      <w:r>
        <w:rPr>
          <w:rFonts w:hint="eastAsia" w:asciiTheme="minorEastAsia" w:hAnsiTheme="minorEastAsia"/>
          <w:sz w:val="28"/>
          <w:szCs w:val="24"/>
        </w:rPr>
        <w:t>3</w:t>
      </w:r>
      <w:r>
        <w:rPr>
          <w:rFonts w:asciiTheme="minorEastAsia" w:hAnsiTheme="minorEastAsia"/>
          <w:sz w:val="28"/>
          <w:szCs w:val="24"/>
        </w:rPr>
        <w:t xml:space="preserve">  </w:t>
      </w:r>
      <w:r>
        <w:rPr>
          <w:rFonts w:hint="eastAsia" w:asciiTheme="minorEastAsia" w:hAnsiTheme="minorEastAsia"/>
          <w:sz w:val="28"/>
          <w:szCs w:val="24"/>
        </w:rPr>
        <w:t>杠杆率</w:t>
      </w:r>
      <w:bookmarkEnd w:id="6"/>
    </w:p>
    <w:p>
      <w:pPr>
        <w:pStyle w:val="3"/>
        <w:spacing w:before="0" w:after="0" w:line="360" w:lineRule="auto"/>
        <w:rPr>
          <w:rFonts w:asciiTheme="minorEastAsia" w:hAnsiTheme="minorEastAsia" w:eastAsiaTheme="minorEastAsia"/>
          <w:sz w:val="24"/>
          <w:szCs w:val="24"/>
        </w:rPr>
      </w:pPr>
      <w:bookmarkStart w:id="7" w:name="_Toc195277111"/>
      <w:r>
        <w:rPr>
          <w:rFonts w:hint="eastAsia" w:asciiTheme="minorEastAsia" w:hAnsiTheme="minorEastAsia" w:eastAsiaTheme="minorEastAsia"/>
          <w:sz w:val="24"/>
          <w:szCs w:val="24"/>
        </w:rPr>
        <w:t>3.1</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LR1 </w:t>
      </w:r>
      <w:r>
        <w:rPr>
          <w:rFonts w:hint="eastAsia" w:asciiTheme="minorEastAsia" w:hAnsiTheme="minorEastAsia" w:eastAsiaTheme="minorEastAsia"/>
          <w:sz w:val="24"/>
          <w:szCs w:val="24"/>
        </w:rPr>
        <w:t>杠杆率监管项目与相关会计项目的差异</w:t>
      </w:r>
      <w:bookmarkEnd w:id="7"/>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下表列示本公司资产负债表中的总资产和杠杆率调整后的表内外资产余额的对比关系。</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表格LR1：杠杆率监管项目与相关会计项目的差异</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9860" w:type="dxa"/>
        <w:jc w:val="center"/>
        <w:tblLayout w:type="autofit"/>
        <w:tblCellMar>
          <w:top w:w="0" w:type="dxa"/>
          <w:left w:w="108" w:type="dxa"/>
          <w:bottom w:w="0" w:type="dxa"/>
          <w:right w:w="108" w:type="dxa"/>
        </w:tblCellMar>
      </w:tblPr>
      <w:tblGrid>
        <w:gridCol w:w="1080"/>
        <w:gridCol w:w="5620"/>
        <w:gridCol w:w="3160"/>
      </w:tblGrid>
      <w:tr>
        <w:tblPrEx>
          <w:tblCellMar>
            <w:top w:w="0" w:type="dxa"/>
            <w:left w:w="108" w:type="dxa"/>
            <w:bottom w:w="0" w:type="dxa"/>
            <w:right w:w="108" w:type="dxa"/>
          </w:tblCellMar>
        </w:tblPrEx>
        <w:trPr>
          <w:trHeight w:val="270" w:hRule="atLeast"/>
          <w:tblHeader/>
          <w:jc w:val="center"/>
        </w:trPr>
        <w:tc>
          <w:tcPr>
            <w:tcW w:w="670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3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r>
      <w:tr>
        <w:tblPrEx>
          <w:tblCellMar>
            <w:top w:w="0" w:type="dxa"/>
            <w:left w:w="108" w:type="dxa"/>
            <w:bottom w:w="0" w:type="dxa"/>
            <w:right w:w="108" w:type="dxa"/>
          </w:tblCellMar>
        </w:tblPrEx>
        <w:trPr>
          <w:trHeight w:val="270" w:hRule="atLeast"/>
          <w:tblHeader/>
          <w:jc w:val="center"/>
        </w:trPr>
        <w:tc>
          <w:tcPr>
            <w:tcW w:w="67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3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w:t>
            </w:r>
            <w:r>
              <w:rPr>
                <w:rFonts w:ascii="宋体" w:hAnsi="宋体" w:eastAsia="宋体" w:cs="宋体"/>
                <w:color w:val="000000"/>
                <w:kern w:val="0"/>
                <w:szCs w:val="21"/>
              </w:rPr>
              <w:t>5</w:t>
            </w:r>
            <w:r>
              <w:rPr>
                <w:rFonts w:hint="eastAsia" w:ascii="宋体" w:hAnsi="宋体" w:eastAsia="宋体" w:cs="宋体"/>
                <w:color w:val="000000"/>
                <w:kern w:val="0"/>
                <w:szCs w:val="21"/>
              </w:rPr>
              <w:t>年</w:t>
            </w:r>
            <w:r>
              <w:rPr>
                <w:rFonts w:ascii="宋体" w:hAnsi="宋体" w:eastAsia="宋体" w:cs="宋体"/>
                <w:color w:val="000000"/>
                <w:kern w:val="0"/>
                <w:szCs w:val="21"/>
              </w:rPr>
              <w:t>3</w:t>
            </w:r>
            <w:r>
              <w:rPr>
                <w:rFonts w:hint="eastAsia" w:ascii="宋体" w:hAnsi="宋体" w:eastAsia="宋体" w:cs="宋体"/>
                <w:color w:val="000000"/>
                <w:kern w:val="0"/>
                <w:szCs w:val="21"/>
              </w:rPr>
              <w:t>月31日</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并表总资产</w:t>
            </w:r>
          </w:p>
        </w:tc>
        <w:tc>
          <w:tcPr>
            <w:tcW w:w="31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280,253,743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客户资产调整项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衍生工具调整项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4,289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80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27,320,548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资产证券化交易调整项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未结算金融资产调整项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现金池调整项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存款准备金调整项（如有）</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审慎估值和减值准备调整项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-226,380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13</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调整后表内外资产余额</w:t>
            </w:r>
          </w:p>
        </w:tc>
        <w:tc>
          <w:tcPr>
            <w:tcW w:w="316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307,352,280 </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3"/>
        <w:spacing w:before="0" w:after="0" w:line="360" w:lineRule="auto"/>
        <w:rPr>
          <w:rFonts w:asciiTheme="minorEastAsia" w:hAnsiTheme="minorEastAsia" w:eastAsiaTheme="minorEastAsia"/>
          <w:sz w:val="24"/>
          <w:szCs w:val="24"/>
        </w:rPr>
      </w:pPr>
      <w:bookmarkStart w:id="8" w:name="_Toc195277112"/>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2  </w:t>
      </w:r>
      <w:r>
        <w:rPr>
          <w:rFonts w:hint="eastAsia" w:cs="Times New Roman" w:asciiTheme="minorEastAsia" w:hAnsiTheme="minorEastAsia"/>
          <w:color w:val="000000"/>
          <w:sz w:val="24"/>
          <w:szCs w:val="24"/>
        </w:rPr>
        <w:t xml:space="preserve">LR2 </w:t>
      </w:r>
      <w:r>
        <w:rPr>
          <w:rFonts w:hint="eastAsia" w:asciiTheme="minorEastAsia" w:hAnsiTheme="minorEastAsia" w:eastAsiaTheme="minorEastAsia"/>
          <w:sz w:val="24"/>
          <w:szCs w:val="24"/>
        </w:rPr>
        <w:t>杠杆率</w:t>
      </w:r>
      <w:bookmarkEnd w:id="8"/>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下表列示本公司杠杆率分母的组成明细以及实际杠杆率、最低杠杆率要求和附加杠杆率要求等相关信息。</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表格LR2：杠杆率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9600" w:type="dxa"/>
        <w:jc w:val="center"/>
        <w:tblLayout w:type="autofit"/>
        <w:tblCellMar>
          <w:top w:w="0" w:type="dxa"/>
          <w:left w:w="108" w:type="dxa"/>
          <w:bottom w:w="0" w:type="dxa"/>
          <w:right w:w="108" w:type="dxa"/>
        </w:tblCellMar>
      </w:tblPr>
      <w:tblGrid>
        <w:gridCol w:w="1080"/>
        <w:gridCol w:w="4240"/>
        <w:gridCol w:w="2140"/>
        <w:gridCol w:w="2140"/>
      </w:tblGrid>
      <w:tr>
        <w:tblPrEx>
          <w:tblCellMar>
            <w:top w:w="0" w:type="dxa"/>
            <w:left w:w="108" w:type="dxa"/>
            <w:bottom w:w="0" w:type="dxa"/>
            <w:right w:w="108" w:type="dxa"/>
          </w:tblCellMar>
        </w:tblPrEx>
        <w:trPr>
          <w:trHeight w:val="270" w:hRule="atLeast"/>
          <w:tblHeader/>
          <w:jc w:val="center"/>
        </w:trPr>
        <w:tc>
          <w:tcPr>
            <w:tcW w:w="53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2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r>
      <w:tr>
        <w:tblPrEx>
          <w:tblCellMar>
            <w:top w:w="0" w:type="dxa"/>
            <w:left w:w="108" w:type="dxa"/>
            <w:bottom w:w="0" w:type="dxa"/>
            <w:right w:w="108" w:type="dxa"/>
          </w:tblCellMar>
        </w:tblPrEx>
        <w:trPr>
          <w:trHeight w:val="270" w:hRule="atLeast"/>
          <w:tblHeader/>
          <w:jc w:val="center"/>
        </w:trPr>
        <w:tc>
          <w:tcPr>
            <w:tcW w:w="53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olor w:val="000000"/>
                <w:szCs w:val="21"/>
              </w:rPr>
            </w:pPr>
            <w:r>
              <w:rPr>
                <w:rFonts w:hint="eastAsia" w:ascii="宋体" w:hAnsi="宋体" w:eastAsia="宋体"/>
                <w:color w:val="000000"/>
                <w:szCs w:val="21"/>
              </w:rPr>
              <w:t>2025年3月31日</w:t>
            </w:r>
          </w:p>
        </w:tc>
        <w:tc>
          <w:tcPr>
            <w:tcW w:w="2140"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olor w:val="000000"/>
                <w:szCs w:val="21"/>
              </w:rPr>
            </w:pPr>
            <w:r>
              <w:rPr>
                <w:rFonts w:hint="eastAsia" w:ascii="宋体" w:hAnsi="宋体" w:eastAsia="宋体"/>
                <w:color w:val="000000"/>
                <w:szCs w:val="21"/>
              </w:rPr>
              <w:t>2024年12月31日</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表内资产余额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表内资产（除衍生工具和证券融资交易外）</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284,105,438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264,605,573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-5,262,487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-5,189,703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减：一级资本扣除项</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-226,380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-203,040 </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调整后的表内资产余额（衍生工具和证券融资交易除外）</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278,616,571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259,212,830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各类衍生工具的重置成本（扣除合格保证金，考虑双边净额结算协议的影响）</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2,522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4,375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各类衍生工具的潜在风险暴露</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1,767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17,476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已从资产负债表中扣除的抵质押品总和</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减：因提供合格保证金形成的应收资产</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减：为客户提供清算服务时与中央交易对手交易形成的衍生工具资产余额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卖出信用衍生工具的名义本金</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减：可扣除的卖出信用衍生工具资产余额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4,289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21,851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证券融资交易的会计资产余额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1,410,792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10,528,342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减：可以扣除的证券融资交易资产余额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证券融资交易的交易对手信用风险暴露</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80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258,411 </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代理证券融资交易形成的证券融资交易资产余额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1,410,872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10,786,753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表外项目余额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39,734,119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48,402,235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减：因信用转换调整的表外项目余额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-12,316,730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-17,113,009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-96,841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-85,555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调整后的表外项目余额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27,320,548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31,203,671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一级资本净额和调整后表内外资产余额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19,716,447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19,606,006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307,352,280 </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301,225,105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6.41</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6.51</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24a</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6.41</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6.51</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最低杠杆率要求</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4.00</w:t>
            </w:r>
          </w:p>
        </w:tc>
        <w:tc>
          <w:tcPr>
            <w:tcW w:w="214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4.00</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sectPr>
      <w:footerReference r:id="rId3" w:type="default"/>
      <w:pgSz w:w="11906" w:h="16838"/>
      <w:pgMar w:top="1247"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4141187"/>
      <w:docPartObj>
        <w:docPartGallery w:val="autotext"/>
      </w:docPartObj>
    </w:sdtPr>
    <w:sdtEndPr>
      <w:rPr>
        <w:rFonts w:asciiTheme="minorEastAsia" w:hAnsiTheme="minorEastAsia"/>
        <w:sz w:val="24"/>
        <w:szCs w:val="24"/>
      </w:rPr>
    </w:sdtEndPr>
    <w:sdtContent>
      <w:p>
        <w:pPr>
          <w:pStyle w:val="6"/>
          <w:jc w:val="center"/>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2</w:t>
        </w:r>
        <w:r>
          <w:rPr>
            <w:rFonts w:asciiTheme="minorEastAsia" w:hAnsiTheme="minorEastAsia"/>
            <w:sz w:val="24"/>
            <w:szCs w:val="24"/>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6AC1"/>
    <w:rsid w:val="00002898"/>
    <w:rsid w:val="00006131"/>
    <w:rsid w:val="0000779D"/>
    <w:rsid w:val="00011695"/>
    <w:rsid w:val="00012313"/>
    <w:rsid w:val="00015208"/>
    <w:rsid w:val="00015863"/>
    <w:rsid w:val="00015A56"/>
    <w:rsid w:val="00022586"/>
    <w:rsid w:val="00023D19"/>
    <w:rsid w:val="00024574"/>
    <w:rsid w:val="00024946"/>
    <w:rsid w:val="0002509A"/>
    <w:rsid w:val="00030DFE"/>
    <w:rsid w:val="00033530"/>
    <w:rsid w:val="000359D8"/>
    <w:rsid w:val="00035C08"/>
    <w:rsid w:val="00036D74"/>
    <w:rsid w:val="00040FC9"/>
    <w:rsid w:val="00041FC8"/>
    <w:rsid w:val="000443FC"/>
    <w:rsid w:val="000449A0"/>
    <w:rsid w:val="0004612B"/>
    <w:rsid w:val="00046240"/>
    <w:rsid w:val="00046ED7"/>
    <w:rsid w:val="000508E7"/>
    <w:rsid w:val="00050C83"/>
    <w:rsid w:val="00051EDF"/>
    <w:rsid w:val="00051FD3"/>
    <w:rsid w:val="0005327B"/>
    <w:rsid w:val="00054373"/>
    <w:rsid w:val="000567B8"/>
    <w:rsid w:val="0005707B"/>
    <w:rsid w:val="0005711A"/>
    <w:rsid w:val="00060938"/>
    <w:rsid w:val="00063F9F"/>
    <w:rsid w:val="00063FAE"/>
    <w:rsid w:val="00065116"/>
    <w:rsid w:val="000707E6"/>
    <w:rsid w:val="000719B9"/>
    <w:rsid w:val="0007255C"/>
    <w:rsid w:val="0007265D"/>
    <w:rsid w:val="0007419D"/>
    <w:rsid w:val="00074EF1"/>
    <w:rsid w:val="00076030"/>
    <w:rsid w:val="00076B4A"/>
    <w:rsid w:val="00077AF6"/>
    <w:rsid w:val="00077D54"/>
    <w:rsid w:val="0008126C"/>
    <w:rsid w:val="00082A7B"/>
    <w:rsid w:val="00082C96"/>
    <w:rsid w:val="00083059"/>
    <w:rsid w:val="00086AC4"/>
    <w:rsid w:val="00090A1A"/>
    <w:rsid w:val="00090F43"/>
    <w:rsid w:val="0009299B"/>
    <w:rsid w:val="00093B8B"/>
    <w:rsid w:val="0009484C"/>
    <w:rsid w:val="000952CD"/>
    <w:rsid w:val="000A05A1"/>
    <w:rsid w:val="000A3596"/>
    <w:rsid w:val="000A3D89"/>
    <w:rsid w:val="000A44EF"/>
    <w:rsid w:val="000A5744"/>
    <w:rsid w:val="000B0607"/>
    <w:rsid w:val="000B1038"/>
    <w:rsid w:val="000B26F4"/>
    <w:rsid w:val="000B3677"/>
    <w:rsid w:val="000B37BB"/>
    <w:rsid w:val="000B6FCC"/>
    <w:rsid w:val="000B7007"/>
    <w:rsid w:val="000B7857"/>
    <w:rsid w:val="000C0099"/>
    <w:rsid w:val="000C2F89"/>
    <w:rsid w:val="000C3CC2"/>
    <w:rsid w:val="000C3D14"/>
    <w:rsid w:val="000C568A"/>
    <w:rsid w:val="000C59DE"/>
    <w:rsid w:val="000C65DB"/>
    <w:rsid w:val="000C6818"/>
    <w:rsid w:val="000C7718"/>
    <w:rsid w:val="000D0D16"/>
    <w:rsid w:val="000D0F91"/>
    <w:rsid w:val="000D33AE"/>
    <w:rsid w:val="000D38E7"/>
    <w:rsid w:val="000D43FB"/>
    <w:rsid w:val="000D5844"/>
    <w:rsid w:val="000E18CD"/>
    <w:rsid w:val="000E3D47"/>
    <w:rsid w:val="000E4D1C"/>
    <w:rsid w:val="000E5B3B"/>
    <w:rsid w:val="000E5D09"/>
    <w:rsid w:val="000E779C"/>
    <w:rsid w:val="000F0646"/>
    <w:rsid w:val="000F1486"/>
    <w:rsid w:val="000F5959"/>
    <w:rsid w:val="000F5E93"/>
    <w:rsid w:val="0010253D"/>
    <w:rsid w:val="00104E16"/>
    <w:rsid w:val="00105D3F"/>
    <w:rsid w:val="00107DCA"/>
    <w:rsid w:val="001106CA"/>
    <w:rsid w:val="00110F7E"/>
    <w:rsid w:val="00111872"/>
    <w:rsid w:val="00112D85"/>
    <w:rsid w:val="001138C1"/>
    <w:rsid w:val="00114DCA"/>
    <w:rsid w:val="00116AE8"/>
    <w:rsid w:val="0011793D"/>
    <w:rsid w:val="00120A5B"/>
    <w:rsid w:val="00121EA8"/>
    <w:rsid w:val="001260F3"/>
    <w:rsid w:val="00126B42"/>
    <w:rsid w:val="0013355B"/>
    <w:rsid w:val="001336ED"/>
    <w:rsid w:val="001340A3"/>
    <w:rsid w:val="00134459"/>
    <w:rsid w:val="0013618C"/>
    <w:rsid w:val="00137392"/>
    <w:rsid w:val="001417E4"/>
    <w:rsid w:val="00142834"/>
    <w:rsid w:val="001459DE"/>
    <w:rsid w:val="00145D3D"/>
    <w:rsid w:val="001460A3"/>
    <w:rsid w:val="0014629F"/>
    <w:rsid w:val="001465F9"/>
    <w:rsid w:val="00150C65"/>
    <w:rsid w:val="00150D9A"/>
    <w:rsid w:val="001517C2"/>
    <w:rsid w:val="00151832"/>
    <w:rsid w:val="001539C3"/>
    <w:rsid w:val="0015757A"/>
    <w:rsid w:val="00157747"/>
    <w:rsid w:val="001619CF"/>
    <w:rsid w:val="00162458"/>
    <w:rsid w:val="00162772"/>
    <w:rsid w:val="00164D31"/>
    <w:rsid w:val="00167A72"/>
    <w:rsid w:val="001705D1"/>
    <w:rsid w:val="001709C0"/>
    <w:rsid w:val="00170E8A"/>
    <w:rsid w:val="00176945"/>
    <w:rsid w:val="00181680"/>
    <w:rsid w:val="0018348D"/>
    <w:rsid w:val="00183C67"/>
    <w:rsid w:val="00183C8D"/>
    <w:rsid w:val="00186A7D"/>
    <w:rsid w:val="00195667"/>
    <w:rsid w:val="0019650D"/>
    <w:rsid w:val="001A47E3"/>
    <w:rsid w:val="001A4CCD"/>
    <w:rsid w:val="001A5E56"/>
    <w:rsid w:val="001A7486"/>
    <w:rsid w:val="001B1CCB"/>
    <w:rsid w:val="001B2F8B"/>
    <w:rsid w:val="001B3ED9"/>
    <w:rsid w:val="001B3FDB"/>
    <w:rsid w:val="001B4164"/>
    <w:rsid w:val="001B4F17"/>
    <w:rsid w:val="001C0AB6"/>
    <w:rsid w:val="001C43AB"/>
    <w:rsid w:val="001C67DD"/>
    <w:rsid w:val="001D05AB"/>
    <w:rsid w:val="001D0A8F"/>
    <w:rsid w:val="001D135D"/>
    <w:rsid w:val="001D16D3"/>
    <w:rsid w:val="001D2B10"/>
    <w:rsid w:val="001D2C3E"/>
    <w:rsid w:val="001D2EDF"/>
    <w:rsid w:val="001D502E"/>
    <w:rsid w:val="001D569A"/>
    <w:rsid w:val="001D6D8A"/>
    <w:rsid w:val="001D7C02"/>
    <w:rsid w:val="001E111F"/>
    <w:rsid w:val="001E4A20"/>
    <w:rsid w:val="001E4E72"/>
    <w:rsid w:val="001E5128"/>
    <w:rsid w:val="001E5A2A"/>
    <w:rsid w:val="001E5B0E"/>
    <w:rsid w:val="001E5DE1"/>
    <w:rsid w:val="001F19F4"/>
    <w:rsid w:val="001F34CC"/>
    <w:rsid w:val="001F47EE"/>
    <w:rsid w:val="001F5304"/>
    <w:rsid w:val="001F60B5"/>
    <w:rsid w:val="001F640B"/>
    <w:rsid w:val="00200B39"/>
    <w:rsid w:val="002011C9"/>
    <w:rsid w:val="00202C2D"/>
    <w:rsid w:val="002066D1"/>
    <w:rsid w:val="0020743D"/>
    <w:rsid w:val="002075AF"/>
    <w:rsid w:val="00207FB9"/>
    <w:rsid w:val="00210847"/>
    <w:rsid w:val="00210A86"/>
    <w:rsid w:val="00210ADA"/>
    <w:rsid w:val="0021319E"/>
    <w:rsid w:val="00214B95"/>
    <w:rsid w:val="00214D9E"/>
    <w:rsid w:val="00216FA3"/>
    <w:rsid w:val="00220BC5"/>
    <w:rsid w:val="00221414"/>
    <w:rsid w:val="002222E3"/>
    <w:rsid w:val="0022444E"/>
    <w:rsid w:val="00224998"/>
    <w:rsid w:val="002257B2"/>
    <w:rsid w:val="00226CB6"/>
    <w:rsid w:val="00227408"/>
    <w:rsid w:val="002315A6"/>
    <w:rsid w:val="0023199D"/>
    <w:rsid w:val="00232585"/>
    <w:rsid w:val="00233AA8"/>
    <w:rsid w:val="00235190"/>
    <w:rsid w:val="00237C86"/>
    <w:rsid w:val="00242A1D"/>
    <w:rsid w:val="00242E10"/>
    <w:rsid w:val="0024380A"/>
    <w:rsid w:val="00245BC0"/>
    <w:rsid w:val="0025041A"/>
    <w:rsid w:val="00252ABC"/>
    <w:rsid w:val="00255022"/>
    <w:rsid w:val="002574ED"/>
    <w:rsid w:val="00257BA0"/>
    <w:rsid w:val="00260571"/>
    <w:rsid w:val="0026222C"/>
    <w:rsid w:val="00262C01"/>
    <w:rsid w:val="00262C84"/>
    <w:rsid w:val="00264ED6"/>
    <w:rsid w:val="00266236"/>
    <w:rsid w:val="00266F50"/>
    <w:rsid w:val="0026735F"/>
    <w:rsid w:val="002676EA"/>
    <w:rsid w:val="002712B7"/>
    <w:rsid w:val="00271B20"/>
    <w:rsid w:val="00271B98"/>
    <w:rsid w:val="00272D70"/>
    <w:rsid w:val="0027455F"/>
    <w:rsid w:val="00275CA4"/>
    <w:rsid w:val="00275F26"/>
    <w:rsid w:val="00276E0B"/>
    <w:rsid w:val="00277A5A"/>
    <w:rsid w:val="00277CB3"/>
    <w:rsid w:val="002812DF"/>
    <w:rsid w:val="00282E26"/>
    <w:rsid w:val="00283B9E"/>
    <w:rsid w:val="00284174"/>
    <w:rsid w:val="00284AA7"/>
    <w:rsid w:val="002919AD"/>
    <w:rsid w:val="002931AF"/>
    <w:rsid w:val="00293720"/>
    <w:rsid w:val="002937E8"/>
    <w:rsid w:val="00295A56"/>
    <w:rsid w:val="002960EE"/>
    <w:rsid w:val="002964CA"/>
    <w:rsid w:val="002A0352"/>
    <w:rsid w:val="002A0D30"/>
    <w:rsid w:val="002A644A"/>
    <w:rsid w:val="002A6FF8"/>
    <w:rsid w:val="002B2636"/>
    <w:rsid w:val="002B4A8F"/>
    <w:rsid w:val="002B5EC7"/>
    <w:rsid w:val="002B60BC"/>
    <w:rsid w:val="002B7732"/>
    <w:rsid w:val="002B7B53"/>
    <w:rsid w:val="002C0876"/>
    <w:rsid w:val="002C0CA0"/>
    <w:rsid w:val="002C231E"/>
    <w:rsid w:val="002C4633"/>
    <w:rsid w:val="002C4914"/>
    <w:rsid w:val="002C4F82"/>
    <w:rsid w:val="002C5251"/>
    <w:rsid w:val="002C68B0"/>
    <w:rsid w:val="002C7A7B"/>
    <w:rsid w:val="002D65C1"/>
    <w:rsid w:val="002D719F"/>
    <w:rsid w:val="002D74E6"/>
    <w:rsid w:val="002D7B52"/>
    <w:rsid w:val="002E0216"/>
    <w:rsid w:val="002E11CE"/>
    <w:rsid w:val="002E2440"/>
    <w:rsid w:val="002E3253"/>
    <w:rsid w:val="002E660F"/>
    <w:rsid w:val="002E690E"/>
    <w:rsid w:val="002E740D"/>
    <w:rsid w:val="002F1D8D"/>
    <w:rsid w:val="002F5A70"/>
    <w:rsid w:val="002F6C19"/>
    <w:rsid w:val="002F6E20"/>
    <w:rsid w:val="002F7D49"/>
    <w:rsid w:val="00302AA5"/>
    <w:rsid w:val="00302BA7"/>
    <w:rsid w:val="00302D80"/>
    <w:rsid w:val="00302F04"/>
    <w:rsid w:val="0030436B"/>
    <w:rsid w:val="0030637B"/>
    <w:rsid w:val="00307A85"/>
    <w:rsid w:val="00310BBF"/>
    <w:rsid w:val="00311FBC"/>
    <w:rsid w:val="00313238"/>
    <w:rsid w:val="00315793"/>
    <w:rsid w:val="0031595F"/>
    <w:rsid w:val="003176BF"/>
    <w:rsid w:val="00322587"/>
    <w:rsid w:val="00323078"/>
    <w:rsid w:val="00324965"/>
    <w:rsid w:val="00325C09"/>
    <w:rsid w:val="00326E56"/>
    <w:rsid w:val="00327DD1"/>
    <w:rsid w:val="00330BA2"/>
    <w:rsid w:val="0033256C"/>
    <w:rsid w:val="00333002"/>
    <w:rsid w:val="00334090"/>
    <w:rsid w:val="003346FC"/>
    <w:rsid w:val="00337655"/>
    <w:rsid w:val="00337B6D"/>
    <w:rsid w:val="00337F3C"/>
    <w:rsid w:val="00341C75"/>
    <w:rsid w:val="00342433"/>
    <w:rsid w:val="00344942"/>
    <w:rsid w:val="00344E27"/>
    <w:rsid w:val="00346BC4"/>
    <w:rsid w:val="003510AF"/>
    <w:rsid w:val="003558A8"/>
    <w:rsid w:val="00355BEA"/>
    <w:rsid w:val="00356BEB"/>
    <w:rsid w:val="00357201"/>
    <w:rsid w:val="003626F9"/>
    <w:rsid w:val="00362A27"/>
    <w:rsid w:val="00362FA2"/>
    <w:rsid w:val="003633EA"/>
    <w:rsid w:val="0036392B"/>
    <w:rsid w:val="0036540C"/>
    <w:rsid w:val="00366F42"/>
    <w:rsid w:val="00371B3D"/>
    <w:rsid w:val="00372145"/>
    <w:rsid w:val="00373322"/>
    <w:rsid w:val="003734CD"/>
    <w:rsid w:val="00375086"/>
    <w:rsid w:val="003766F7"/>
    <w:rsid w:val="003773BA"/>
    <w:rsid w:val="00380C94"/>
    <w:rsid w:val="00381A7F"/>
    <w:rsid w:val="00381C41"/>
    <w:rsid w:val="0038335A"/>
    <w:rsid w:val="003834F8"/>
    <w:rsid w:val="003864F7"/>
    <w:rsid w:val="003904A9"/>
    <w:rsid w:val="00390C5A"/>
    <w:rsid w:val="00390DF9"/>
    <w:rsid w:val="0039286D"/>
    <w:rsid w:val="00392D86"/>
    <w:rsid w:val="0039454D"/>
    <w:rsid w:val="00394BE2"/>
    <w:rsid w:val="00394FC0"/>
    <w:rsid w:val="00396377"/>
    <w:rsid w:val="00397E11"/>
    <w:rsid w:val="00397FD1"/>
    <w:rsid w:val="003A05EE"/>
    <w:rsid w:val="003A07B5"/>
    <w:rsid w:val="003A25E6"/>
    <w:rsid w:val="003A2985"/>
    <w:rsid w:val="003A6A5F"/>
    <w:rsid w:val="003A6A9E"/>
    <w:rsid w:val="003A6B13"/>
    <w:rsid w:val="003A6BBB"/>
    <w:rsid w:val="003A6BFC"/>
    <w:rsid w:val="003B3E6E"/>
    <w:rsid w:val="003B5E3D"/>
    <w:rsid w:val="003B6613"/>
    <w:rsid w:val="003B7FFE"/>
    <w:rsid w:val="003C0509"/>
    <w:rsid w:val="003C72DB"/>
    <w:rsid w:val="003D0D2B"/>
    <w:rsid w:val="003D117C"/>
    <w:rsid w:val="003D2D49"/>
    <w:rsid w:val="003D472D"/>
    <w:rsid w:val="003D657F"/>
    <w:rsid w:val="003D7D7D"/>
    <w:rsid w:val="003E319F"/>
    <w:rsid w:val="003E37CE"/>
    <w:rsid w:val="003E3E1D"/>
    <w:rsid w:val="003E606C"/>
    <w:rsid w:val="003F1C94"/>
    <w:rsid w:val="003F1ED3"/>
    <w:rsid w:val="003F2E84"/>
    <w:rsid w:val="003F5874"/>
    <w:rsid w:val="0040261E"/>
    <w:rsid w:val="00404286"/>
    <w:rsid w:val="00407114"/>
    <w:rsid w:val="00410750"/>
    <w:rsid w:val="00411E20"/>
    <w:rsid w:val="00415131"/>
    <w:rsid w:val="00415201"/>
    <w:rsid w:val="004166AE"/>
    <w:rsid w:val="00417CC3"/>
    <w:rsid w:val="004204A5"/>
    <w:rsid w:val="00421191"/>
    <w:rsid w:val="00421783"/>
    <w:rsid w:val="00422BA1"/>
    <w:rsid w:val="00422E5A"/>
    <w:rsid w:val="00424FF0"/>
    <w:rsid w:val="0042501B"/>
    <w:rsid w:val="00425CF6"/>
    <w:rsid w:val="004328FE"/>
    <w:rsid w:val="00432BD1"/>
    <w:rsid w:val="0043307B"/>
    <w:rsid w:val="0043589D"/>
    <w:rsid w:val="00435DEC"/>
    <w:rsid w:val="004365E0"/>
    <w:rsid w:val="00436C67"/>
    <w:rsid w:val="0044048F"/>
    <w:rsid w:val="00440D2E"/>
    <w:rsid w:val="00442209"/>
    <w:rsid w:val="0044253B"/>
    <w:rsid w:val="004425D3"/>
    <w:rsid w:val="00444472"/>
    <w:rsid w:val="004448A4"/>
    <w:rsid w:val="00447ED6"/>
    <w:rsid w:val="0045283E"/>
    <w:rsid w:val="00453F52"/>
    <w:rsid w:val="004559BA"/>
    <w:rsid w:val="00456EFE"/>
    <w:rsid w:val="0045702E"/>
    <w:rsid w:val="00457E4C"/>
    <w:rsid w:val="00460725"/>
    <w:rsid w:val="0046184F"/>
    <w:rsid w:val="004627AB"/>
    <w:rsid w:val="00462950"/>
    <w:rsid w:val="00462E94"/>
    <w:rsid w:val="00464B58"/>
    <w:rsid w:val="00465105"/>
    <w:rsid w:val="00465D09"/>
    <w:rsid w:val="004665C6"/>
    <w:rsid w:val="0047136C"/>
    <w:rsid w:val="00472B9A"/>
    <w:rsid w:val="0047354A"/>
    <w:rsid w:val="00474AA2"/>
    <w:rsid w:val="00474CDC"/>
    <w:rsid w:val="00475D30"/>
    <w:rsid w:val="004819A7"/>
    <w:rsid w:val="00485759"/>
    <w:rsid w:val="00485CF7"/>
    <w:rsid w:val="00487353"/>
    <w:rsid w:val="004876DC"/>
    <w:rsid w:val="00490F8B"/>
    <w:rsid w:val="0049105F"/>
    <w:rsid w:val="004910FF"/>
    <w:rsid w:val="004926BD"/>
    <w:rsid w:val="0049293A"/>
    <w:rsid w:val="0049393C"/>
    <w:rsid w:val="00494EC1"/>
    <w:rsid w:val="00496523"/>
    <w:rsid w:val="004A02FC"/>
    <w:rsid w:val="004A0948"/>
    <w:rsid w:val="004A2809"/>
    <w:rsid w:val="004A3BE2"/>
    <w:rsid w:val="004A6721"/>
    <w:rsid w:val="004A69AF"/>
    <w:rsid w:val="004A6F46"/>
    <w:rsid w:val="004A71BF"/>
    <w:rsid w:val="004B1638"/>
    <w:rsid w:val="004B3164"/>
    <w:rsid w:val="004B69F4"/>
    <w:rsid w:val="004C1823"/>
    <w:rsid w:val="004C3959"/>
    <w:rsid w:val="004C49CF"/>
    <w:rsid w:val="004C6745"/>
    <w:rsid w:val="004C7DCA"/>
    <w:rsid w:val="004D150B"/>
    <w:rsid w:val="004D18E1"/>
    <w:rsid w:val="004D1BB7"/>
    <w:rsid w:val="004D313F"/>
    <w:rsid w:val="004D43C2"/>
    <w:rsid w:val="004D4788"/>
    <w:rsid w:val="004D7434"/>
    <w:rsid w:val="004E2170"/>
    <w:rsid w:val="004E26BD"/>
    <w:rsid w:val="004E3C35"/>
    <w:rsid w:val="004E53CE"/>
    <w:rsid w:val="004E5579"/>
    <w:rsid w:val="004E61BE"/>
    <w:rsid w:val="004E6928"/>
    <w:rsid w:val="004E6B7D"/>
    <w:rsid w:val="004F3E50"/>
    <w:rsid w:val="004F54AD"/>
    <w:rsid w:val="004F673C"/>
    <w:rsid w:val="00501AE9"/>
    <w:rsid w:val="005038CE"/>
    <w:rsid w:val="00504E0D"/>
    <w:rsid w:val="005102DB"/>
    <w:rsid w:val="00513045"/>
    <w:rsid w:val="00513E4B"/>
    <w:rsid w:val="00514D1C"/>
    <w:rsid w:val="005153A4"/>
    <w:rsid w:val="00516B97"/>
    <w:rsid w:val="00523DDC"/>
    <w:rsid w:val="00525B6F"/>
    <w:rsid w:val="005272AE"/>
    <w:rsid w:val="00530B19"/>
    <w:rsid w:val="00530C85"/>
    <w:rsid w:val="005316D0"/>
    <w:rsid w:val="0053287D"/>
    <w:rsid w:val="00532962"/>
    <w:rsid w:val="00535057"/>
    <w:rsid w:val="0053651B"/>
    <w:rsid w:val="0054001D"/>
    <w:rsid w:val="00540566"/>
    <w:rsid w:val="00545715"/>
    <w:rsid w:val="00546857"/>
    <w:rsid w:val="005512B0"/>
    <w:rsid w:val="00552EFD"/>
    <w:rsid w:val="005531BC"/>
    <w:rsid w:val="00557343"/>
    <w:rsid w:val="005619FB"/>
    <w:rsid w:val="00561F7C"/>
    <w:rsid w:val="005630E2"/>
    <w:rsid w:val="00570BFC"/>
    <w:rsid w:val="00572CCA"/>
    <w:rsid w:val="00574CFA"/>
    <w:rsid w:val="005750A3"/>
    <w:rsid w:val="005769A3"/>
    <w:rsid w:val="005774AF"/>
    <w:rsid w:val="0059129C"/>
    <w:rsid w:val="005927B9"/>
    <w:rsid w:val="00593059"/>
    <w:rsid w:val="00595117"/>
    <w:rsid w:val="005A0286"/>
    <w:rsid w:val="005A10D2"/>
    <w:rsid w:val="005A1161"/>
    <w:rsid w:val="005A25B4"/>
    <w:rsid w:val="005A4C2B"/>
    <w:rsid w:val="005B0229"/>
    <w:rsid w:val="005B06AA"/>
    <w:rsid w:val="005B2573"/>
    <w:rsid w:val="005B30AD"/>
    <w:rsid w:val="005B33C9"/>
    <w:rsid w:val="005B5EE0"/>
    <w:rsid w:val="005B7DA8"/>
    <w:rsid w:val="005C0D48"/>
    <w:rsid w:val="005C1C5D"/>
    <w:rsid w:val="005C2003"/>
    <w:rsid w:val="005C42CB"/>
    <w:rsid w:val="005C7703"/>
    <w:rsid w:val="005D3CF9"/>
    <w:rsid w:val="005D3DF6"/>
    <w:rsid w:val="005D4DA5"/>
    <w:rsid w:val="005D6809"/>
    <w:rsid w:val="005E452C"/>
    <w:rsid w:val="005F40AD"/>
    <w:rsid w:val="005F50DF"/>
    <w:rsid w:val="005F61FB"/>
    <w:rsid w:val="005F7CF6"/>
    <w:rsid w:val="005F7DC7"/>
    <w:rsid w:val="0060232C"/>
    <w:rsid w:val="006029FA"/>
    <w:rsid w:val="006043F5"/>
    <w:rsid w:val="00610C96"/>
    <w:rsid w:val="0061113C"/>
    <w:rsid w:val="006114A3"/>
    <w:rsid w:val="006119BA"/>
    <w:rsid w:val="00611CBE"/>
    <w:rsid w:val="00614817"/>
    <w:rsid w:val="0062018A"/>
    <w:rsid w:val="00620A08"/>
    <w:rsid w:val="00625B55"/>
    <w:rsid w:val="0063066B"/>
    <w:rsid w:val="00631398"/>
    <w:rsid w:val="00634E4C"/>
    <w:rsid w:val="00637657"/>
    <w:rsid w:val="00637FAC"/>
    <w:rsid w:val="00641A72"/>
    <w:rsid w:val="00641B66"/>
    <w:rsid w:val="00643A17"/>
    <w:rsid w:val="00643A6D"/>
    <w:rsid w:val="006444C7"/>
    <w:rsid w:val="00644B61"/>
    <w:rsid w:val="00644D3D"/>
    <w:rsid w:val="00646074"/>
    <w:rsid w:val="00650A6B"/>
    <w:rsid w:val="00652D85"/>
    <w:rsid w:val="00654B5B"/>
    <w:rsid w:val="00656047"/>
    <w:rsid w:val="00660F11"/>
    <w:rsid w:val="00661CB5"/>
    <w:rsid w:val="00664779"/>
    <w:rsid w:val="00666524"/>
    <w:rsid w:val="00667AA4"/>
    <w:rsid w:val="00667CA4"/>
    <w:rsid w:val="00671EB8"/>
    <w:rsid w:val="006720FD"/>
    <w:rsid w:val="0067306C"/>
    <w:rsid w:val="006739CA"/>
    <w:rsid w:val="00674110"/>
    <w:rsid w:val="00675E48"/>
    <w:rsid w:val="00676F66"/>
    <w:rsid w:val="00677ECC"/>
    <w:rsid w:val="00683A52"/>
    <w:rsid w:val="00684215"/>
    <w:rsid w:val="0068589F"/>
    <w:rsid w:val="00694B59"/>
    <w:rsid w:val="006975A9"/>
    <w:rsid w:val="006A2665"/>
    <w:rsid w:val="006A3394"/>
    <w:rsid w:val="006A42DF"/>
    <w:rsid w:val="006A508D"/>
    <w:rsid w:val="006A56DB"/>
    <w:rsid w:val="006A57F0"/>
    <w:rsid w:val="006A6461"/>
    <w:rsid w:val="006B0E95"/>
    <w:rsid w:val="006B2ED0"/>
    <w:rsid w:val="006B37A3"/>
    <w:rsid w:val="006B5797"/>
    <w:rsid w:val="006B6322"/>
    <w:rsid w:val="006B7068"/>
    <w:rsid w:val="006B70DB"/>
    <w:rsid w:val="006C0211"/>
    <w:rsid w:val="006C0381"/>
    <w:rsid w:val="006C0905"/>
    <w:rsid w:val="006C1922"/>
    <w:rsid w:val="006C38CE"/>
    <w:rsid w:val="006C4620"/>
    <w:rsid w:val="006C4B70"/>
    <w:rsid w:val="006C4E45"/>
    <w:rsid w:val="006C743F"/>
    <w:rsid w:val="006C7870"/>
    <w:rsid w:val="006C7B1B"/>
    <w:rsid w:val="006D3705"/>
    <w:rsid w:val="006D3798"/>
    <w:rsid w:val="006D4821"/>
    <w:rsid w:val="006D4968"/>
    <w:rsid w:val="006D54CC"/>
    <w:rsid w:val="006E1ACD"/>
    <w:rsid w:val="006E2D7D"/>
    <w:rsid w:val="006E3F10"/>
    <w:rsid w:val="006E48C5"/>
    <w:rsid w:val="006E4A17"/>
    <w:rsid w:val="006F0F4A"/>
    <w:rsid w:val="006F3212"/>
    <w:rsid w:val="006F3781"/>
    <w:rsid w:val="006F4A89"/>
    <w:rsid w:val="006F532D"/>
    <w:rsid w:val="006F6E5A"/>
    <w:rsid w:val="00704613"/>
    <w:rsid w:val="00704DBE"/>
    <w:rsid w:val="00705CAF"/>
    <w:rsid w:val="007079AD"/>
    <w:rsid w:val="00712180"/>
    <w:rsid w:val="00715F49"/>
    <w:rsid w:val="00716F6F"/>
    <w:rsid w:val="007202AD"/>
    <w:rsid w:val="0072342B"/>
    <w:rsid w:val="007260F1"/>
    <w:rsid w:val="00726174"/>
    <w:rsid w:val="007279AC"/>
    <w:rsid w:val="00731E24"/>
    <w:rsid w:val="00733B15"/>
    <w:rsid w:val="00733B94"/>
    <w:rsid w:val="00734E19"/>
    <w:rsid w:val="007370F5"/>
    <w:rsid w:val="00740587"/>
    <w:rsid w:val="00742145"/>
    <w:rsid w:val="0074335C"/>
    <w:rsid w:val="007457A8"/>
    <w:rsid w:val="00745E31"/>
    <w:rsid w:val="00745ED5"/>
    <w:rsid w:val="007468E6"/>
    <w:rsid w:val="00747EC6"/>
    <w:rsid w:val="00750181"/>
    <w:rsid w:val="00752B40"/>
    <w:rsid w:val="00752FE4"/>
    <w:rsid w:val="00753682"/>
    <w:rsid w:val="0075776C"/>
    <w:rsid w:val="007610A0"/>
    <w:rsid w:val="00761F2E"/>
    <w:rsid w:val="0076215A"/>
    <w:rsid w:val="007639D0"/>
    <w:rsid w:val="00763E5F"/>
    <w:rsid w:val="0076495F"/>
    <w:rsid w:val="0076591C"/>
    <w:rsid w:val="00765F34"/>
    <w:rsid w:val="007667E3"/>
    <w:rsid w:val="0076699F"/>
    <w:rsid w:val="0077025E"/>
    <w:rsid w:val="0077044D"/>
    <w:rsid w:val="00772840"/>
    <w:rsid w:val="00774EB0"/>
    <w:rsid w:val="00776D00"/>
    <w:rsid w:val="00780355"/>
    <w:rsid w:val="0078106A"/>
    <w:rsid w:val="00782398"/>
    <w:rsid w:val="007823DA"/>
    <w:rsid w:val="00783869"/>
    <w:rsid w:val="00785078"/>
    <w:rsid w:val="00787DF4"/>
    <w:rsid w:val="00791B3F"/>
    <w:rsid w:val="00791DCE"/>
    <w:rsid w:val="00792FD9"/>
    <w:rsid w:val="0079648A"/>
    <w:rsid w:val="0079717E"/>
    <w:rsid w:val="007A11DC"/>
    <w:rsid w:val="007A1230"/>
    <w:rsid w:val="007A161A"/>
    <w:rsid w:val="007A3482"/>
    <w:rsid w:val="007A4AD2"/>
    <w:rsid w:val="007A6144"/>
    <w:rsid w:val="007A6782"/>
    <w:rsid w:val="007A6FAE"/>
    <w:rsid w:val="007A724F"/>
    <w:rsid w:val="007A7667"/>
    <w:rsid w:val="007B0832"/>
    <w:rsid w:val="007B386A"/>
    <w:rsid w:val="007B475D"/>
    <w:rsid w:val="007B5426"/>
    <w:rsid w:val="007B5734"/>
    <w:rsid w:val="007B5FEB"/>
    <w:rsid w:val="007C01E6"/>
    <w:rsid w:val="007C026D"/>
    <w:rsid w:val="007C0328"/>
    <w:rsid w:val="007C0837"/>
    <w:rsid w:val="007C147C"/>
    <w:rsid w:val="007C424E"/>
    <w:rsid w:val="007C7180"/>
    <w:rsid w:val="007D051C"/>
    <w:rsid w:val="007E4FAE"/>
    <w:rsid w:val="007E5065"/>
    <w:rsid w:val="007E6024"/>
    <w:rsid w:val="007E6E06"/>
    <w:rsid w:val="007F3BCB"/>
    <w:rsid w:val="007F74D7"/>
    <w:rsid w:val="008008E4"/>
    <w:rsid w:val="0080168B"/>
    <w:rsid w:val="008033DB"/>
    <w:rsid w:val="00807177"/>
    <w:rsid w:val="0081033C"/>
    <w:rsid w:val="008124C5"/>
    <w:rsid w:val="008136E3"/>
    <w:rsid w:val="00815322"/>
    <w:rsid w:val="00821130"/>
    <w:rsid w:val="0082752D"/>
    <w:rsid w:val="0082789D"/>
    <w:rsid w:val="00830DE2"/>
    <w:rsid w:val="0083159E"/>
    <w:rsid w:val="008315D8"/>
    <w:rsid w:val="00832152"/>
    <w:rsid w:val="00834243"/>
    <w:rsid w:val="00836780"/>
    <w:rsid w:val="008378EC"/>
    <w:rsid w:val="00840209"/>
    <w:rsid w:val="00840CDE"/>
    <w:rsid w:val="008418EF"/>
    <w:rsid w:val="00841A33"/>
    <w:rsid w:val="00843FBE"/>
    <w:rsid w:val="008448F7"/>
    <w:rsid w:val="008466D9"/>
    <w:rsid w:val="00846836"/>
    <w:rsid w:val="00847F38"/>
    <w:rsid w:val="008523F9"/>
    <w:rsid w:val="00852A1B"/>
    <w:rsid w:val="00860EDE"/>
    <w:rsid w:val="00861068"/>
    <w:rsid w:val="00862FCF"/>
    <w:rsid w:val="00865F90"/>
    <w:rsid w:val="00866CA1"/>
    <w:rsid w:val="008676EC"/>
    <w:rsid w:val="00867C8A"/>
    <w:rsid w:val="008721C7"/>
    <w:rsid w:val="00872393"/>
    <w:rsid w:val="00873717"/>
    <w:rsid w:val="00873B63"/>
    <w:rsid w:val="00874532"/>
    <w:rsid w:val="00875428"/>
    <w:rsid w:val="008760A6"/>
    <w:rsid w:val="00876785"/>
    <w:rsid w:val="008779DF"/>
    <w:rsid w:val="00877F5C"/>
    <w:rsid w:val="0088078B"/>
    <w:rsid w:val="008810B4"/>
    <w:rsid w:val="008811E7"/>
    <w:rsid w:val="00881C27"/>
    <w:rsid w:val="00882BB2"/>
    <w:rsid w:val="00883831"/>
    <w:rsid w:val="00885336"/>
    <w:rsid w:val="00885B94"/>
    <w:rsid w:val="008863E7"/>
    <w:rsid w:val="00893F39"/>
    <w:rsid w:val="00895271"/>
    <w:rsid w:val="008957D3"/>
    <w:rsid w:val="00895DF1"/>
    <w:rsid w:val="00896E75"/>
    <w:rsid w:val="008970B6"/>
    <w:rsid w:val="008970DA"/>
    <w:rsid w:val="00897BE4"/>
    <w:rsid w:val="008A066B"/>
    <w:rsid w:val="008A0701"/>
    <w:rsid w:val="008A149E"/>
    <w:rsid w:val="008A2709"/>
    <w:rsid w:val="008A49A8"/>
    <w:rsid w:val="008A4BE3"/>
    <w:rsid w:val="008A4E8E"/>
    <w:rsid w:val="008A5CD0"/>
    <w:rsid w:val="008A69D2"/>
    <w:rsid w:val="008B0491"/>
    <w:rsid w:val="008B07A1"/>
    <w:rsid w:val="008B2DA3"/>
    <w:rsid w:val="008B34FE"/>
    <w:rsid w:val="008B3573"/>
    <w:rsid w:val="008B47B1"/>
    <w:rsid w:val="008B70EF"/>
    <w:rsid w:val="008C0012"/>
    <w:rsid w:val="008C0A45"/>
    <w:rsid w:val="008C0DC0"/>
    <w:rsid w:val="008C1B87"/>
    <w:rsid w:val="008C1F50"/>
    <w:rsid w:val="008C2C90"/>
    <w:rsid w:val="008C58B7"/>
    <w:rsid w:val="008D4FBA"/>
    <w:rsid w:val="008D52C6"/>
    <w:rsid w:val="008D56A8"/>
    <w:rsid w:val="008D7598"/>
    <w:rsid w:val="008D78D5"/>
    <w:rsid w:val="008E10C8"/>
    <w:rsid w:val="008E1DDB"/>
    <w:rsid w:val="008E288E"/>
    <w:rsid w:val="008F0004"/>
    <w:rsid w:val="008F25FC"/>
    <w:rsid w:val="008F2F4F"/>
    <w:rsid w:val="008F3F62"/>
    <w:rsid w:val="008F497D"/>
    <w:rsid w:val="008F706D"/>
    <w:rsid w:val="008F7241"/>
    <w:rsid w:val="008F7807"/>
    <w:rsid w:val="00900D3A"/>
    <w:rsid w:val="009011C8"/>
    <w:rsid w:val="009024A3"/>
    <w:rsid w:val="00903508"/>
    <w:rsid w:val="009046A9"/>
    <w:rsid w:val="009050E6"/>
    <w:rsid w:val="00905914"/>
    <w:rsid w:val="00906037"/>
    <w:rsid w:val="009066B3"/>
    <w:rsid w:val="0091130A"/>
    <w:rsid w:val="00915EB9"/>
    <w:rsid w:val="00916A6A"/>
    <w:rsid w:val="00917CEE"/>
    <w:rsid w:val="00921258"/>
    <w:rsid w:val="00923797"/>
    <w:rsid w:val="00924633"/>
    <w:rsid w:val="00925C2F"/>
    <w:rsid w:val="00926A26"/>
    <w:rsid w:val="00930AFF"/>
    <w:rsid w:val="00930F9A"/>
    <w:rsid w:val="00931956"/>
    <w:rsid w:val="00933882"/>
    <w:rsid w:val="0093491E"/>
    <w:rsid w:val="00935726"/>
    <w:rsid w:val="00936AC1"/>
    <w:rsid w:val="00936E0B"/>
    <w:rsid w:val="0094339A"/>
    <w:rsid w:val="00943FDC"/>
    <w:rsid w:val="0094400C"/>
    <w:rsid w:val="00944751"/>
    <w:rsid w:val="00945E06"/>
    <w:rsid w:val="009511CF"/>
    <w:rsid w:val="00951264"/>
    <w:rsid w:val="00951B28"/>
    <w:rsid w:val="00954579"/>
    <w:rsid w:val="009557F8"/>
    <w:rsid w:val="00955CEA"/>
    <w:rsid w:val="00955D5B"/>
    <w:rsid w:val="00956E03"/>
    <w:rsid w:val="00957679"/>
    <w:rsid w:val="009604DA"/>
    <w:rsid w:val="009622F0"/>
    <w:rsid w:val="0096657A"/>
    <w:rsid w:val="00967874"/>
    <w:rsid w:val="00970CC4"/>
    <w:rsid w:val="00972948"/>
    <w:rsid w:val="00972E79"/>
    <w:rsid w:val="0097770C"/>
    <w:rsid w:val="009806A8"/>
    <w:rsid w:val="00983FCA"/>
    <w:rsid w:val="00990AF7"/>
    <w:rsid w:val="00991CB5"/>
    <w:rsid w:val="00993AD9"/>
    <w:rsid w:val="0099630E"/>
    <w:rsid w:val="009A25AF"/>
    <w:rsid w:val="009A63C5"/>
    <w:rsid w:val="009A7DB2"/>
    <w:rsid w:val="009B12ED"/>
    <w:rsid w:val="009B18EA"/>
    <w:rsid w:val="009B41A8"/>
    <w:rsid w:val="009B5347"/>
    <w:rsid w:val="009B5DF5"/>
    <w:rsid w:val="009B6250"/>
    <w:rsid w:val="009C296A"/>
    <w:rsid w:val="009C4A43"/>
    <w:rsid w:val="009C4FA7"/>
    <w:rsid w:val="009C7639"/>
    <w:rsid w:val="009D043A"/>
    <w:rsid w:val="009D1416"/>
    <w:rsid w:val="009D14CD"/>
    <w:rsid w:val="009D373D"/>
    <w:rsid w:val="009D45B4"/>
    <w:rsid w:val="009D4A56"/>
    <w:rsid w:val="009E155A"/>
    <w:rsid w:val="009E4207"/>
    <w:rsid w:val="009E7C27"/>
    <w:rsid w:val="009F0A24"/>
    <w:rsid w:val="009F48DB"/>
    <w:rsid w:val="00A00E44"/>
    <w:rsid w:val="00A01204"/>
    <w:rsid w:val="00A023AD"/>
    <w:rsid w:val="00A03785"/>
    <w:rsid w:val="00A049CA"/>
    <w:rsid w:val="00A04B10"/>
    <w:rsid w:val="00A05E14"/>
    <w:rsid w:val="00A113B2"/>
    <w:rsid w:val="00A11448"/>
    <w:rsid w:val="00A12B50"/>
    <w:rsid w:val="00A14F93"/>
    <w:rsid w:val="00A15AAC"/>
    <w:rsid w:val="00A17425"/>
    <w:rsid w:val="00A17665"/>
    <w:rsid w:val="00A2033A"/>
    <w:rsid w:val="00A20D97"/>
    <w:rsid w:val="00A20FE6"/>
    <w:rsid w:val="00A21C1A"/>
    <w:rsid w:val="00A236F3"/>
    <w:rsid w:val="00A25FC7"/>
    <w:rsid w:val="00A26230"/>
    <w:rsid w:val="00A26CE2"/>
    <w:rsid w:val="00A27A0E"/>
    <w:rsid w:val="00A3061A"/>
    <w:rsid w:val="00A3352C"/>
    <w:rsid w:val="00A33E36"/>
    <w:rsid w:val="00A34FF4"/>
    <w:rsid w:val="00A36332"/>
    <w:rsid w:val="00A36957"/>
    <w:rsid w:val="00A37642"/>
    <w:rsid w:val="00A379AA"/>
    <w:rsid w:val="00A41112"/>
    <w:rsid w:val="00A411C2"/>
    <w:rsid w:val="00A425F3"/>
    <w:rsid w:val="00A43F8C"/>
    <w:rsid w:val="00A54855"/>
    <w:rsid w:val="00A562C9"/>
    <w:rsid w:val="00A5694B"/>
    <w:rsid w:val="00A5782C"/>
    <w:rsid w:val="00A60551"/>
    <w:rsid w:val="00A60CD5"/>
    <w:rsid w:val="00A61256"/>
    <w:rsid w:val="00A626DD"/>
    <w:rsid w:val="00A63C6E"/>
    <w:rsid w:val="00A63CE0"/>
    <w:rsid w:val="00A6563D"/>
    <w:rsid w:val="00A6571D"/>
    <w:rsid w:val="00A665F6"/>
    <w:rsid w:val="00A67431"/>
    <w:rsid w:val="00A67619"/>
    <w:rsid w:val="00A71287"/>
    <w:rsid w:val="00A71D4A"/>
    <w:rsid w:val="00A725AF"/>
    <w:rsid w:val="00A732B9"/>
    <w:rsid w:val="00A73942"/>
    <w:rsid w:val="00A7412A"/>
    <w:rsid w:val="00A75039"/>
    <w:rsid w:val="00A750F8"/>
    <w:rsid w:val="00A75BD5"/>
    <w:rsid w:val="00A75DC1"/>
    <w:rsid w:val="00A76EBD"/>
    <w:rsid w:val="00A77496"/>
    <w:rsid w:val="00A80173"/>
    <w:rsid w:val="00A80A04"/>
    <w:rsid w:val="00A80B68"/>
    <w:rsid w:val="00A8405F"/>
    <w:rsid w:val="00A85545"/>
    <w:rsid w:val="00A856A7"/>
    <w:rsid w:val="00A87222"/>
    <w:rsid w:val="00A87B83"/>
    <w:rsid w:val="00A95BBB"/>
    <w:rsid w:val="00A960E1"/>
    <w:rsid w:val="00A9638E"/>
    <w:rsid w:val="00A96EDC"/>
    <w:rsid w:val="00A97661"/>
    <w:rsid w:val="00AA0E83"/>
    <w:rsid w:val="00AA2003"/>
    <w:rsid w:val="00AA3B41"/>
    <w:rsid w:val="00AA4E8F"/>
    <w:rsid w:val="00AB012D"/>
    <w:rsid w:val="00AB1509"/>
    <w:rsid w:val="00AB1E06"/>
    <w:rsid w:val="00AB28E6"/>
    <w:rsid w:val="00AB3E23"/>
    <w:rsid w:val="00AB3EFE"/>
    <w:rsid w:val="00AB43F9"/>
    <w:rsid w:val="00AB7219"/>
    <w:rsid w:val="00AB746B"/>
    <w:rsid w:val="00AB79DF"/>
    <w:rsid w:val="00AB7F07"/>
    <w:rsid w:val="00AC0046"/>
    <w:rsid w:val="00AC17BD"/>
    <w:rsid w:val="00AC454B"/>
    <w:rsid w:val="00AC5A3B"/>
    <w:rsid w:val="00AC6F27"/>
    <w:rsid w:val="00AD4C2C"/>
    <w:rsid w:val="00AD5E7C"/>
    <w:rsid w:val="00AE0848"/>
    <w:rsid w:val="00AE087A"/>
    <w:rsid w:val="00AE14D0"/>
    <w:rsid w:val="00AE3BE3"/>
    <w:rsid w:val="00AE4233"/>
    <w:rsid w:val="00AE5306"/>
    <w:rsid w:val="00AE5F05"/>
    <w:rsid w:val="00AE7477"/>
    <w:rsid w:val="00AE7C67"/>
    <w:rsid w:val="00AF2454"/>
    <w:rsid w:val="00AF72D9"/>
    <w:rsid w:val="00AF7E9F"/>
    <w:rsid w:val="00B00528"/>
    <w:rsid w:val="00B01221"/>
    <w:rsid w:val="00B01FDE"/>
    <w:rsid w:val="00B02977"/>
    <w:rsid w:val="00B04988"/>
    <w:rsid w:val="00B06732"/>
    <w:rsid w:val="00B0734E"/>
    <w:rsid w:val="00B10A80"/>
    <w:rsid w:val="00B11820"/>
    <w:rsid w:val="00B118CE"/>
    <w:rsid w:val="00B1338A"/>
    <w:rsid w:val="00B13D42"/>
    <w:rsid w:val="00B15177"/>
    <w:rsid w:val="00B15A63"/>
    <w:rsid w:val="00B164D8"/>
    <w:rsid w:val="00B16566"/>
    <w:rsid w:val="00B1667C"/>
    <w:rsid w:val="00B2190E"/>
    <w:rsid w:val="00B21ECA"/>
    <w:rsid w:val="00B21F43"/>
    <w:rsid w:val="00B24CB3"/>
    <w:rsid w:val="00B279B2"/>
    <w:rsid w:val="00B31D39"/>
    <w:rsid w:val="00B33422"/>
    <w:rsid w:val="00B34E5E"/>
    <w:rsid w:val="00B355CD"/>
    <w:rsid w:val="00B358CF"/>
    <w:rsid w:val="00B35B38"/>
    <w:rsid w:val="00B36129"/>
    <w:rsid w:val="00B36C12"/>
    <w:rsid w:val="00B413F5"/>
    <w:rsid w:val="00B42314"/>
    <w:rsid w:val="00B42582"/>
    <w:rsid w:val="00B43BD5"/>
    <w:rsid w:val="00B446A8"/>
    <w:rsid w:val="00B47463"/>
    <w:rsid w:val="00B521C3"/>
    <w:rsid w:val="00B5396F"/>
    <w:rsid w:val="00B54088"/>
    <w:rsid w:val="00B55383"/>
    <w:rsid w:val="00B615A3"/>
    <w:rsid w:val="00B63B24"/>
    <w:rsid w:val="00B64294"/>
    <w:rsid w:val="00B64535"/>
    <w:rsid w:val="00B654A4"/>
    <w:rsid w:val="00B65501"/>
    <w:rsid w:val="00B656EB"/>
    <w:rsid w:val="00B66A5F"/>
    <w:rsid w:val="00B72124"/>
    <w:rsid w:val="00B737D8"/>
    <w:rsid w:val="00B7385B"/>
    <w:rsid w:val="00B7450B"/>
    <w:rsid w:val="00B75ADC"/>
    <w:rsid w:val="00B764F9"/>
    <w:rsid w:val="00B774C8"/>
    <w:rsid w:val="00B822D5"/>
    <w:rsid w:val="00B83D20"/>
    <w:rsid w:val="00B85DE1"/>
    <w:rsid w:val="00B865B5"/>
    <w:rsid w:val="00B868F5"/>
    <w:rsid w:val="00B92293"/>
    <w:rsid w:val="00B938B5"/>
    <w:rsid w:val="00B93B6F"/>
    <w:rsid w:val="00B94ACF"/>
    <w:rsid w:val="00B95E69"/>
    <w:rsid w:val="00B97601"/>
    <w:rsid w:val="00B977D0"/>
    <w:rsid w:val="00B97AA6"/>
    <w:rsid w:val="00BA125A"/>
    <w:rsid w:val="00BA2AE0"/>
    <w:rsid w:val="00BA40F9"/>
    <w:rsid w:val="00BA43D0"/>
    <w:rsid w:val="00BA6F2D"/>
    <w:rsid w:val="00BA74C7"/>
    <w:rsid w:val="00BB0024"/>
    <w:rsid w:val="00BB0D9F"/>
    <w:rsid w:val="00BB16C1"/>
    <w:rsid w:val="00BB3A44"/>
    <w:rsid w:val="00BB75CE"/>
    <w:rsid w:val="00BB770F"/>
    <w:rsid w:val="00BC32CC"/>
    <w:rsid w:val="00BC52DD"/>
    <w:rsid w:val="00BC64FA"/>
    <w:rsid w:val="00BD0693"/>
    <w:rsid w:val="00BD0BED"/>
    <w:rsid w:val="00BD3050"/>
    <w:rsid w:val="00BD3C05"/>
    <w:rsid w:val="00BE07D0"/>
    <w:rsid w:val="00BE0BDE"/>
    <w:rsid w:val="00BE32D6"/>
    <w:rsid w:val="00BE3A42"/>
    <w:rsid w:val="00BE58B2"/>
    <w:rsid w:val="00BE5D52"/>
    <w:rsid w:val="00BE5EE9"/>
    <w:rsid w:val="00BE7796"/>
    <w:rsid w:val="00BF0616"/>
    <w:rsid w:val="00BF1754"/>
    <w:rsid w:val="00BF1BB9"/>
    <w:rsid w:val="00BF23F0"/>
    <w:rsid w:val="00BF4210"/>
    <w:rsid w:val="00C035DB"/>
    <w:rsid w:val="00C044F0"/>
    <w:rsid w:val="00C04A3E"/>
    <w:rsid w:val="00C0611F"/>
    <w:rsid w:val="00C07164"/>
    <w:rsid w:val="00C071EA"/>
    <w:rsid w:val="00C14062"/>
    <w:rsid w:val="00C14225"/>
    <w:rsid w:val="00C14C97"/>
    <w:rsid w:val="00C1591C"/>
    <w:rsid w:val="00C175CF"/>
    <w:rsid w:val="00C17955"/>
    <w:rsid w:val="00C20B3B"/>
    <w:rsid w:val="00C22ED7"/>
    <w:rsid w:val="00C25E26"/>
    <w:rsid w:val="00C263D9"/>
    <w:rsid w:val="00C269B8"/>
    <w:rsid w:val="00C33C98"/>
    <w:rsid w:val="00C33F0B"/>
    <w:rsid w:val="00C360DA"/>
    <w:rsid w:val="00C3799C"/>
    <w:rsid w:val="00C42197"/>
    <w:rsid w:val="00C44E1E"/>
    <w:rsid w:val="00C45D2E"/>
    <w:rsid w:val="00C46183"/>
    <w:rsid w:val="00C463DD"/>
    <w:rsid w:val="00C4697A"/>
    <w:rsid w:val="00C471A3"/>
    <w:rsid w:val="00C4771D"/>
    <w:rsid w:val="00C47A65"/>
    <w:rsid w:val="00C54797"/>
    <w:rsid w:val="00C55B14"/>
    <w:rsid w:val="00C56BE2"/>
    <w:rsid w:val="00C5733F"/>
    <w:rsid w:val="00C61006"/>
    <w:rsid w:val="00C61D26"/>
    <w:rsid w:val="00C62176"/>
    <w:rsid w:val="00C6337F"/>
    <w:rsid w:val="00C6429C"/>
    <w:rsid w:val="00C65A6F"/>
    <w:rsid w:val="00C65C41"/>
    <w:rsid w:val="00C6675A"/>
    <w:rsid w:val="00C7039C"/>
    <w:rsid w:val="00C73476"/>
    <w:rsid w:val="00C739F9"/>
    <w:rsid w:val="00C7469E"/>
    <w:rsid w:val="00C74BA4"/>
    <w:rsid w:val="00C7529D"/>
    <w:rsid w:val="00C76143"/>
    <w:rsid w:val="00C76A50"/>
    <w:rsid w:val="00C777D0"/>
    <w:rsid w:val="00C81868"/>
    <w:rsid w:val="00C83EC1"/>
    <w:rsid w:val="00C852FD"/>
    <w:rsid w:val="00C85C2D"/>
    <w:rsid w:val="00C86106"/>
    <w:rsid w:val="00C87495"/>
    <w:rsid w:val="00C90E39"/>
    <w:rsid w:val="00C91E86"/>
    <w:rsid w:val="00C9486D"/>
    <w:rsid w:val="00CA1B15"/>
    <w:rsid w:val="00CA23CC"/>
    <w:rsid w:val="00CA5BC1"/>
    <w:rsid w:val="00CA61DE"/>
    <w:rsid w:val="00CA6F39"/>
    <w:rsid w:val="00CB0028"/>
    <w:rsid w:val="00CB0966"/>
    <w:rsid w:val="00CB24A8"/>
    <w:rsid w:val="00CB3407"/>
    <w:rsid w:val="00CB341A"/>
    <w:rsid w:val="00CB3BE4"/>
    <w:rsid w:val="00CB64A0"/>
    <w:rsid w:val="00CC25E6"/>
    <w:rsid w:val="00CC2747"/>
    <w:rsid w:val="00CC3BCD"/>
    <w:rsid w:val="00CC3EAA"/>
    <w:rsid w:val="00CC57AB"/>
    <w:rsid w:val="00CC67ED"/>
    <w:rsid w:val="00CD0A50"/>
    <w:rsid w:val="00CD1A5C"/>
    <w:rsid w:val="00CD1DBB"/>
    <w:rsid w:val="00CD2E15"/>
    <w:rsid w:val="00CD2FD9"/>
    <w:rsid w:val="00CD65A2"/>
    <w:rsid w:val="00CE12FC"/>
    <w:rsid w:val="00CE7131"/>
    <w:rsid w:val="00CF2919"/>
    <w:rsid w:val="00D001A0"/>
    <w:rsid w:val="00D01898"/>
    <w:rsid w:val="00D02164"/>
    <w:rsid w:val="00D021E6"/>
    <w:rsid w:val="00D02B2B"/>
    <w:rsid w:val="00D0530D"/>
    <w:rsid w:val="00D068F6"/>
    <w:rsid w:val="00D12297"/>
    <w:rsid w:val="00D13502"/>
    <w:rsid w:val="00D13CA7"/>
    <w:rsid w:val="00D152C8"/>
    <w:rsid w:val="00D152E5"/>
    <w:rsid w:val="00D15995"/>
    <w:rsid w:val="00D15C8F"/>
    <w:rsid w:val="00D17373"/>
    <w:rsid w:val="00D17778"/>
    <w:rsid w:val="00D21781"/>
    <w:rsid w:val="00D22690"/>
    <w:rsid w:val="00D22928"/>
    <w:rsid w:val="00D232B1"/>
    <w:rsid w:val="00D243E1"/>
    <w:rsid w:val="00D2526B"/>
    <w:rsid w:val="00D25BC2"/>
    <w:rsid w:val="00D307F2"/>
    <w:rsid w:val="00D30E43"/>
    <w:rsid w:val="00D3131D"/>
    <w:rsid w:val="00D32066"/>
    <w:rsid w:val="00D341CF"/>
    <w:rsid w:val="00D34AA1"/>
    <w:rsid w:val="00D35063"/>
    <w:rsid w:val="00D37544"/>
    <w:rsid w:val="00D37C4A"/>
    <w:rsid w:val="00D407FE"/>
    <w:rsid w:val="00D4158C"/>
    <w:rsid w:val="00D41E31"/>
    <w:rsid w:val="00D42AAC"/>
    <w:rsid w:val="00D42B26"/>
    <w:rsid w:val="00D44EFA"/>
    <w:rsid w:val="00D45886"/>
    <w:rsid w:val="00D46B04"/>
    <w:rsid w:val="00D46F0B"/>
    <w:rsid w:val="00D47A8B"/>
    <w:rsid w:val="00D47C73"/>
    <w:rsid w:val="00D51B32"/>
    <w:rsid w:val="00D5270A"/>
    <w:rsid w:val="00D52D6A"/>
    <w:rsid w:val="00D550A7"/>
    <w:rsid w:val="00D60DE7"/>
    <w:rsid w:val="00D60E82"/>
    <w:rsid w:val="00D61D2B"/>
    <w:rsid w:val="00D64A15"/>
    <w:rsid w:val="00D6553B"/>
    <w:rsid w:val="00D665B1"/>
    <w:rsid w:val="00D673BC"/>
    <w:rsid w:val="00D67998"/>
    <w:rsid w:val="00D7122D"/>
    <w:rsid w:val="00D717B5"/>
    <w:rsid w:val="00D71C25"/>
    <w:rsid w:val="00D73277"/>
    <w:rsid w:val="00D73401"/>
    <w:rsid w:val="00D739C5"/>
    <w:rsid w:val="00D74461"/>
    <w:rsid w:val="00D75AFC"/>
    <w:rsid w:val="00D76102"/>
    <w:rsid w:val="00D76EBD"/>
    <w:rsid w:val="00D76F9F"/>
    <w:rsid w:val="00D812D1"/>
    <w:rsid w:val="00D81E30"/>
    <w:rsid w:val="00D81E88"/>
    <w:rsid w:val="00D82644"/>
    <w:rsid w:val="00D83023"/>
    <w:rsid w:val="00D8332A"/>
    <w:rsid w:val="00D85890"/>
    <w:rsid w:val="00D86C74"/>
    <w:rsid w:val="00D86EFF"/>
    <w:rsid w:val="00D9013C"/>
    <w:rsid w:val="00D91BBC"/>
    <w:rsid w:val="00D93996"/>
    <w:rsid w:val="00D94461"/>
    <w:rsid w:val="00D94DD0"/>
    <w:rsid w:val="00DA0224"/>
    <w:rsid w:val="00DA05A0"/>
    <w:rsid w:val="00DA4246"/>
    <w:rsid w:val="00DA5C99"/>
    <w:rsid w:val="00DA61E1"/>
    <w:rsid w:val="00DA6A85"/>
    <w:rsid w:val="00DA6E2F"/>
    <w:rsid w:val="00DA7A9A"/>
    <w:rsid w:val="00DB0117"/>
    <w:rsid w:val="00DB0712"/>
    <w:rsid w:val="00DB0F02"/>
    <w:rsid w:val="00DB5F4C"/>
    <w:rsid w:val="00DC04C7"/>
    <w:rsid w:val="00DC0861"/>
    <w:rsid w:val="00DC1A89"/>
    <w:rsid w:val="00DC1AE4"/>
    <w:rsid w:val="00DC2BF1"/>
    <w:rsid w:val="00DC3E88"/>
    <w:rsid w:val="00DC4C8E"/>
    <w:rsid w:val="00DC4FB8"/>
    <w:rsid w:val="00DC7766"/>
    <w:rsid w:val="00DD0645"/>
    <w:rsid w:val="00DD198A"/>
    <w:rsid w:val="00DD2B3F"/>
    <w:rsid w:val="00DD6DD0"/>
    <w:rsid w:val="00DE4340"/>
    <w:rsid w:val="00DE535C"/>
    <w:rsid w:val="00DF0FE9"/>
    <w:rsid w:val="00DF1C42"/>
    <w:rsid w:val="00DF3427"/>
    <w:rsid w:val="00DF4461"/>
    <w:rsid w:val="00DF7CDD"/>
    <w:rsid w:val="00E01776"/>
    <w:rsid w:val="00E02174"/>
    <w:rsid w:val="00E021A7"/>
    <w:rsid w:val="00E034C9"/>
    <w:rsid w:val="00E04859"/>
    <w:rsid w:val="00E05AF0"/>
    <w:rsid w:val="00E05FE4"/>
    <w:rsid w:val="00E067D2"/>
    <w:rsid w:val="00E07C4A"/>
    <w:rsid w:val="00E10AC5"/>
    <w:rsid w:val="00E147E8"/>
    <w:rsid w:val="00E15331"/>
    <w:rsid w:val="00E16044"/>
    <w:rsid w:val="00E16958"/>
    <w:rsid w:val="00E20997"/>
    <w:rsid w:val="00E259E3"/>
    <w:rsid w:val="00E27172"/>
    <w:rsid w:val="00E3209E"/>
    <w:rsid w:val="00E33208"/>
    <w:rsid w:val="00E3575D"/>
    <w:rsid w:val="00E35B8F"/>
    <w:rsid w:val="00E36787"/>
    <w:rsid w:val="00E419AE"/>
    <w:rsid w:val="00E41F90"/>
    <w:rsid w:val="00E425FB"/>
    <w:rsid w:val="00E45827"/>
    <w:rsid w:val="00E47578"/>
    <w:rsid w:val="00E505AD"/>
    <w:rsid w:val="00E5302C"/>
    <w:rsid w:val="00E539AD"/>
    <w:rsid w:val="00E53B81"/>
    <w:rsid w:val="00E56D4C"/>
    <w:rsid w:val="00E62BB8"/>
    <w:rsid w:val="00E63061"/>
    <w:rsid w:val="00E64CC1"/>
    <w:rsid w:val="00E70518"/>
    <w:rsid w:val="00E7566A"/>
    <w:rsid w:val="00E76322"/>
    <w:rsid w:val="00E77860"/>
    <w:rsid w:val="00E806FB"/>
    <w:rsid w:val="00E836FE"/>
    <w:rsid w:val="00E8472A"/>
    <w:rsid w:val="00E8498C"/>
    <w:rsid w:val="00E906D2"/>
    <w:rsid w:val="00E91602"/>
    <w:rsid w:val="00E924F4"/>
    <w:rsid w:val="00E92679"/>
    <w:rsid w:val="00E927DA"/>
    <w:rsid w:val="00E927DD"/>
    <w:rsid w:val="00E928B3"/>
    <w:rsid w:val="00E92B9B"/>
    <w:rsid w:val="00E92E7E"/>
    <w:rsid w:val="00E975A0"/>
    <w:rsid w:val="00E97756"/>
    <w:rsid w:val="00EA06F6"/>
    <w:rsid w:val="00EA082C"/>
    <w:rsid w:val="00EA095D"/>
    <w:rsid w:val="00EA1BE3"/>
    <w:rsid w:val="00EA4475"/>
    <w:rsid w:val="00EA4AF1"/>
    <w:rsid w:val="00EA639B"/>
    <w:rsid w:val="00EA715E"/>
    <w:rsid w:val="00EB079F"/>
    <w:rsid w:val="00EB1980"/>
    <w:rsid w:val="00EB394A"/>
    <w:rsid w:val="00EB692F"/>
    <w:rsid w:val="00EB765D"/>
    <w:rsid w:val="00EB7B6B"/>
    <w:rsid w:val="00EB7E18"/>
    <w:rsid w:val="00EC1664"/>
    <w:rsid w:val="00EC3E58"/>
    <w:rsid w:val="00EC46AB"/>
    <w:rsid w:val="00ED115B"/>
    <w:rsid w:val="00ED1D1C"/>
    <w:rsid w:val="00ED3E43"/>
    <w:rsid w:val="00ED53B2"/>
    <w:rsid w:val="00ED5CAB"/>
    <w:rsid w:val="00ED5DBF"/>
    <w:rsid w:val="00EE39F8"/>
    <w:rsid w:val="00EE6734"/>
    <w:rsid w:val="00EE75D8"/>
    <w:rsid w:val="00EE7F12"/>
    <w:rsid w:val="00EF2305"/>
    <w:rsid w:val="00EF2ABC"/>
    <w:rsid w:val="00EF4648"/>
    <w:rsid w:val="00EF6B41"/>
    <w:rsid w:val="00EF75C3"/>
    <w:rsid w:val="00F00399"/>
    <w:rsid w:val="00F00633"/>
    <w:rsid w:val="00F00E53"/>
    <w:rsid w:val="00F00F33"/>
    <w:rsid w:val="00F02292"/>
    <w:rsid w:val="00F02A56"/>
    <w:rsid w:val="00F07F87"/>
    <w:rsid w:val="00F15F3A"/>
    <w:rsid w:val="00F17E7F"/>
    <w:rsid w:val="00F218BD"/>
    <w:rsid w:val="00F22EE5"/>
    <w:rsid w:val="00F232E4"/>
    <w:rsid w:val="00F23C98"/>
    <w:rsid w:val="00F27108"/>
    <w:rsid w:val="00F271B2"/>
    <w:rsid w:val="00F27840"/>
    <w:rsid w:val="00F325E7"/>
    <w:rsid w:val="00F33C2E"/>
    <w:rsid w:val="00F3698E"/>
    <w:rsid w:val="00F41E48"/>
    <w:rsid w:val="00F42EEE"/>
    <w:rsid w:val="00F469B3"/>
    <w:rsid w:val="00F4766B"/>
    <w:rsid w:val="00F50307"/>
    <w:rsid w:val="00F51EC3"/>
    <w:rsid w:val="00F52A86"/>
    <w:rsid w:val="00F53606"/>
    <w:rsid w:val="00F53960"/>
    <w:rsid w:val="00F54143"/>
    <w:rsid w:val="00F5480D"/>
    <w:rsid w:val="00F54BC7"/>
    <w:rsid w:val="00F55C2B"/>
    <w:rsid w:val="00F5694C"/>
    <w:rsid w:val="00F56FC7"/>
    <w:rsid w:val="00F621A7"/>
    <w:rsid w:val="00F62245"/>
    <w:rsid w:val="00F633E1"/>
    <w:rsid w:val="00F660A8"/>
    <w:rsid w:val="00F67BF1"/>
    <w:rsid w:val="00F67ED1"/>
    <w:rsid w:val="00F70668"/>
    <w:rsid w:val="00F733E7"/>
    <w:rsid w:val="00F73A3D"/>
    <w:rsid w:val="00F755DB"/>
    <w:rsid w:val="00F76073"/>
    <w:rsid w:val="00F76D7A"/>
    <w:rsid w:val="00F80D25"/>
    <w:rsid w:val="00F82D78"/>
    <w:rsid w:val="00F8483A"/>
    <w:rsid w:val="00F854C8"/>
    <w:rsid w:val="00F8558B"/>
    <w:rsid w:val="00F90DEE"/>
    <w:rsid w:val="00F91B07"/>
    <w:rsid w:val="00F91B8D"/>
    <w:rsid w:val="00F92AE9"/>
    <w:rsid w:val="00F93277"/>
    <w:rsid w:val="00F93B40"/>
    <w:rsid w:val="00F94454"/>
    <w:rsid w:val="00F94DF4"/>
    <w:rsid w:val="00F96081"/>
    <w:rsid w:val="00F9682C"/>
    <w:rsid w:val="00F9789C"/>
    <w:rsid w:val="00F97D55"/>
    <w:rsid w:val="00F97F66"/>
    <w:rsid w:val="00FA18DA"/>
    <w:rsid w:val="00FA2F0E"/>
    <w:rsid w:val="00FA40B1"/>
    <w:rsid w:val="00FA4B41"/>
    <w:rsid w:val="00FA74BE"/>
    <w:rsid w:val="00FB10B9"/>
    <w:rsid w:val="00FB17D5"/>
    <w:rsid w:val="00FB1B67"/>
    <w:rsid w:val="00FB694A"/>
    <w:rsid w:val="00FB70AA"/>
    <w:rsid w:val="00FC05D2"/>
    <w:rsid w:val="00FC1272"/>
    <w:rsid w:val="00FC30F5"/>
    <w:rsid w:val="00FC3B41"/>
    <w:rsid w:val="00FC5BE6"/>
    <w:rsid w:val="00FC619A"/>
    <w:rsid w:val="00FC6232"/>
    <w:rsid w:val="00FC73FA"/>
    <w:rsid w:val="00FD0062"/>
    <w:rsid w:val="00FD0CB9"/>
    <w:rsid w:val="00FD5A80"/>
    <w:rsid w:val="00FE404C"/>
    <w:rsid w:val="00FE454B"/>
    <w:rsid w:val="00FE7F54"/>
    <w:rsid w:val="00FE7FF7"/>
    <w:rsid w:val="00FF0893"/>
    <w:rsid w:val="00FF72B5"/>
    <w:rsid w:val="094C3FA0"/>
    <w:rsid w:val="3543507C"/>
    <w:rsid w:val="5CEB7090"/>
    <w:rsid w:val="72B33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toc 3"/>
    <w:basedOn w:val="1"/>
    <w:next w:val="1"/>
    <w:unhideWhenUsed/>
    <w:qFormat/>
    <w:uiPriority w:val="39"/>
    <w:pPr>
      <w:widowControl/>
      <w:spacing w:after="100" w:line="276" w:lineRule="auto"/>
      <w:ind w:left="440"/>
      <w:jc w:val="left"/>
    </w:pPr>
    <w:rPr>
      <w:kern w:val="0"/>
      <w:sz w:val="22"/>
    </w:r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widowControl/>
      <w:tabs>
        <w:tab w:val="right" w:leader="dot" w:pos="8296"/>
      </w:tabs>
      <w:spacing w:after="100" w:line="360" w:lineRule="auto"/>
      <w:jc w:val="left"/>
    </w:pPr>
    <w:rPr>
      <w:rFonts w:asciiTheme="minorEastAsia" w:hAnsiTheme="minorEastAsia"/>
      <w:b/>
      <w:kern w:val="0"/>
      <w:sz w:val="24"/>
      <w:szCs w:val="24"/>
    </w:rPr>
  </w:style>
  <w:style w:type="paragraph" w:styleId="9">
    <w:name w:val="footnote text"/>
    <w:basedOn w:val="1"/>
    <w:link w:val="21"/>
    <w:semiHidden/>
    <w:unhideWhenUsed/>
    <w:qFormat/>
    <w:uiPriority w:val="99"/>
    <w:pPr>
      <w:snapToGrid w:val="0"/>
      <w:jc w:val="left"/>
    </w:pPr>
    <w:rPr>
      <w:sz w:val="18"/>
      <w:szCs w:val="18"/>
    </w:rPr>
  </w:style>
  <w:style w:type="paragraph" w:styleId="10">
    <w:name w:val="toc 2"/>
    <w:basedOn w:val="1"/>
    <w:next w:val="1"/>
    <w:unhideWhenUsed/>
    <w:qFormat/>
    <w:uiPriority w:val="39"/>
    <w:pPr>
      <w:widowControl/>
      <w:spacing w:after="100" w:line="276" w:lineRule="auto"/>
      <w:ind w:left="220"/>
      <w:jc w:val="left"/>
    </w:pPr>
    <w:rPr>
      <w:kern w:val="0"/>
      <w:sz w:val="22"/>
    </w:rPr>
  </w:style>
  <w:style w:type="character" w:styleId="13">
    <w:name w:val="Hyperlink"/>
    <w:basedOn w:val="12"/>
    <w:unhideWhenUsed/>
    <w:uiPriority w:val="99"/>
    <w:rPr>
      <w:color w:val="0563C1" w:themeColor="hyperlink"/>
      <w:u w:val="single"/>
    </w:rPr>
  </w:style>
  <w:style w:type="character" w:styleId="14">
    <w:name w:val="footnote reference"/>
    <w:basedOn w:val="12"/>
    <w:semiHidden/>
    <w:unhideWhenUsed/>
    <w:qFormat/>
    <w:uiPriority w:val="99"/>
    <w:rPr>
      <w:vertAlign w:val="superscript"/>
    </w:rPr>
  </w:style>
  <w:style w:type="character" w:customStyle="1" w:styleId="15">
    <w:name w:val="页眉 Char"/>
    <w:basedOn w:val="12"/>
    <w:link w:val="7"/>
    <w:qFormat/>
    <w:uiPriority w:val="99"/>
    <w:rPr>
      <w:sz w:val="18"/>
      <w:szCs w:val="18"/>
    </w:rPr>
  </w:style>
  <w:style w:type="character" w:customStyle="1" w:styleId="16">
    <w:name w:val="页脚 Char"/>
    <w:basedOn w:val="12"/>
    <w:link w:val="6"/>
    <w:qFormat/>
    <w:uiPriority w:val="99"/>
    <w:rPr>
      <w:sz w:val="18"/>
      <w:szCs w:val="18"/>
    </w:rPr>
  </w:style>
  <w:style w:type="character" w:customStyle="1" w:styleId="17">
    <w:name w:val="标题 1 Char"/>
    <w:basedOn w:val="12"/>
    <w:link w:val="2"/>
    <w:qFormat/>
    <w:uiPriority w:val="9"/>
    <w:rPr>
      <w:b/>
      <w:bCs/>
      <w:kern w:val="44"/>
      <w:sz w:val="44"/>
      <w:szCs w:val="44"/>
    </w:rPr>
  </w:style>
  <w:style w:type="paragraph" w:customStyle="1" w:styleId="18">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character" w:customStyle="1" w:styleId="19">
    <w:name w:val="标题 2 Char"/>
    <w:basedOn w:val="12"/>
    <w:link w:val="3"/>
    <w:qFormat/>
    <w:uiPriority w:val="9"/>
    <w:rPr>
      <w:rFonts w:asciiTheme="majorHAnsi" w:hAnsiTheme="majorHAnsi" w:eastAsiaTheme="majorEastAsia" w:cstheme="majorBidi"/>
      <w:b/>
      <w:bCs/>
      <w:sz w:val="32"/>
      <w:szCs w:val="32"/>
    </w:rPr>
  </w:style>
  <w:style w:type="character" w:customStyle="1" w:styleId="20">
    <w:name w:val="批注框文本 Char"/>
    <w:basedOn w:val="12"/>
    <w:link w:val="5"/>
    <w:semiHidden/>
    <w:qFormat/>
    <w:uiPriority w:val="99"/>
    <w:rPr>
      <w:sz w:val="18"/>
      <w:szCs w:val="18"/>
    </w:rPr>
  </w:style>
  <w:style w:type="character" w:customStyle="1" w:styleId="21">
    <w:name w:val="脚注文本 Char"/>
    <w:basedOn w:val="12"/>
    <w:link w:val="9"/>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A0CDED-4238-4D88-8BA3-C7F3C21FE64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809</Words>
  <Characters>4612</Characters>
  <Lines>38</Lines>
  <Paragraphs>10</Paragraphs>
  <TotalTime>0</TotalTime>
  <ScaleCrop>false</ScaleCrop>
  <LinksUpToDate>false</LinksUpToDate>
  <CharactersWithSpaces>5411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2024-08-05T08:32:00Z</dcterms:created>
  <dc:creator>刘雯</dc:creator>
  <cp:lastModifiedBy>未知</cp:lastModifiedBy>
  <cp:lastPrinted>2025-03-31T02:59:00Z</cp:lastPrinted>
  <dcterms:modified xsi:type="dcterms:W3CDTF">2025-04-24T11:35:53Z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5DB679175E634BFEAC294EF541B6ABBA</vt:lpwstr>
  </property>
</Properties>
</file>